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BF69F8" w:rsidRPr="00AC23BF" w:rsidTr="00EC0775">
        <w:trPr>
          <w:tblCellSpacing w:w="15" w:type="dxa"/>
        </w:trPr>
        <w:tc>
          <w:tcPr>
            <w:tcW w:w="4969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3"/>
            </w:tblGrid>
            <w:tr w:rsidR="00DC3F5B" w:rsidRPr="00AC23BF" w:rsidTr="0056329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3"/>
                  </w:tblGrid>
                  <w:tr w:rsidR="00F74AC4" w:rsidRPr="00AC23BF" w:rsidTr="002D50E0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73"/>
                        </w:tblGrid>
                        <w:tr w:rsidR="00A76F21" w:rsidRPr="00AC23BF" w:rsidTr="00665B81">
                          <w:trPr>
                            <w:tblCellSpacing w:w="15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83"/>
                              </w:tblGrid>
                              <w:tr w:rsidR="00CD6387" w:rsidRPr="00AC23BF" w:rsidTr="0024722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CD6387" w:rsidRPr="00241408" w:rsidRDefault="00CD6387" w:rsidP="0024722D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2414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Информация</w:t>
                                    </w:r>
                                  </w:p>
                                  <w:p w:rsidR="00CD6387" w:rsidRDefault="00CD6387" w:rsidP="0024722D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 w:rsidRPr="002414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о проделанной работе по противодействию коррупции в ГБУСО «</w:t>
                                    </w:r>
                                    <w:proofErr w:type="spellStart"/>
                                    <w:r w:rsidR="008A3B14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8A3B14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ЦСОН»  </w:t>
                                    </w:r>
                                  </w:p>
                                  <w:p w:rsidR="00CD6387" w:rsidRPr="003770E9" w:rsidRDefault="00CD6387" w:rsidP="00AD6033">
                                    <w:pPr>
                                      <w:spacing w:after="0" w:line="240" w:lineRule="auto"/>
                                      <w:contextualSpacing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в 20</w:t>
                                    </w:r>
                                    <w:r w:rsidR="00C867C0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2</w:t>
                                    </w:r>
                                    <w:r w:rsidR="00AD6033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 xml:space="preserve"> г</w:t>
                                    </w:r>
                                    <w:r w:rsidR="004B705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оду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D6387" w:rsidRPr="00AC23BF" w:rsidRDefault="00CD6387" w:rsidP="00CD6387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8"/>
                                  <w:szCs w:val="28"/>
                                </w:rPr>
                              </w:pPr>
                            </w:p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83"/>
                              </w:tblGrid>
                              <w:tr w:rsidR="00CD6387" w:rsidRPr="005E525F" w:rsidTr="0024722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9385" w:type="dxa"/>
                                    <w:hideMark/>
                                  </w:tcPr>
                                  <w:p w:rsidR="00A21362" w:rsidRDefault="00CD6387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             </w:t>
                                    </w:r>
                                    <w:proofErr w:type="gramStart"/>
                                    <w:r w:rsidRPr="009671F1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учреждении действует комиссия по противодействию коррупции, в соответствии с Положением о комиссии государственного бюджетного учреждения социального обслуживания «</w:t>
                                    </w:r>
                                    <w:proofErr w:type="spellStart"/>
                                    <w:r w:rsidR="00716F0C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716F0C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центр социального обслуживания населения» по противодействию коррупции, состав комиссии и положение о ней утверждены приказом директора Центра </w:t>
                                    </w:r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от 20.01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.2015 года № </w:t>
                                    </w:r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0, изменения в состав комиссии внесены приказами директора ГБУСО «</w:t>
                                    </w:r>
                                    <w:proofErr w:type="spellStart"/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ЦСОН» от 2</w:t>
                                    </w:r>
                                    <w:r w:rsidR="00944970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.1</w:t>
                                    </w:r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.201</w:t>
                                    </w:r>
                                    <w:r w:rsidR="00F56BA2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г. № </w:t>
                                    </w:r>
                                    <w:r w:rsidR="007D6486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="00944970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F56BA2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="007D6486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="00C867C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от 09.01.2020 г. № 36, </w:t>
                                    </w:r>
                                    <w:r w:rsidR="009B5C3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от 11.01.2022</w:t>
                                    </w:r>
                                    <w:proofErr w:type="gramEnd"/>
                                    <w:r w:rsidR="009B5C3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9B5C3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г. № 39</w:t>
                                    </w:r>
                                    <w:r w:rsidR="00E61259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, от 11.01.2023 г. № 62,</w:t>
                                    </w:r>
                                    <w:r w:rsidR="00AD603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11.01.2024 г. 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разработан план заседаний комиссии на 20</w:t>
                                    </w:r>
                                    <w:r w:rsidR="00C867C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="00E61259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год, сведения о комиссии, её состав, положение о комиссии размещены на официальном сайте Центра в разделе «Противодействие коррупции», разработан План по предупреждению и противодействию коррупции на 20</w:t>
                                    </w:r>
                                    <w:r w:rsidR="00C867C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="00AD603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год,</w:t>
                                    </w:r>
                                    <w:r w:rsidR="00716F0C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который утвержден приказом директора ГБУСО «</w:t>
                                    </w:r>
                                    <w:proofErr w:type="spellStart"/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ЦСОН» от </w:t>
                                    </w:r>
                                    <w:r w:rsidR="005540DD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11</w:t>
                                    </w:r>
                                    <w:r w:rsidR="00C867C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.01.202</w:t>
                                    </w:r>
                                    <w:r w:rsidR="00AD603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 w:rsidR="00C867C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г. № </w:t>
                                    </w:r>
                                    <w:r w:rsidR="00E61259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="00AD603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  <w:r w:rsidR="00E61259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proofErr w:type="gramEnd"/>
                                    <w:r w:rsidR="00E61259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C079F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В</w:t>
                                    </w:r>
                                    <w:r w:rsidR="008A3B14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  <w:r w:rsidR="00F66EC8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20</w:t>
                                    </w:r>
                                    <w:r w:rsidR="00D211A2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2</w:t>
                                    </w:r>
                                    <w:r w:rsidR="00AD603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4</w:t>
                                    </w:r>
                                    <w:r w:rsidR="008A3B14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году</w:t>
                                    </w:r>
                                    <w:r w:rsidR="00077049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состоялось </w:t>
                                    </w:r>
                                    <w:r w:rsidR="00F56BA2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2</w:t>
                                    </w:r>
                                    <w:r w:rsidR="008A3B14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заседания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комиссии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по проти</w:t>
                                    </w:r>
                                    <w:r w:rsidR="00A21362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водействию коррупции, на котором</w:t>
                                    </w:r>
                                    <w:r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были рассмотрены вопросы </w:t>
                                    </w:r>
                                    <w:r w:rsidR="00A21362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о нормативно – правовых актах, регулирующих отношения по противодействию коррупции</w:t>
                                    </w:r>
                                    <w:r w:rsidR="008A3B14" w:rsidRPr="009671F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, об обеспечении открытой информации о деятельности учреждения.</w:t>
                                    </w:r>
                                    <w:r w:rsid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CD6387" w:rsidRPr="00803791" w:rsidRDefault="00CD6387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           </w:t>
                                    </w:r>
                                    <w:r w:rsidR="00DB7B4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В </w:t>
                                    </w:r>
                                    <w:r w:rsid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течени</w:t>
                                    </w:r>
                                    <w:r w:rsidR="0094497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 w:rsid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2</w:t>
                                    </w:r>
                                    <w:r w:rsidR="00C867C0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02</w:t>
                                    </w:r>
                                    <w:r w:rsidR="00AD603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года  проведена антикоррупционная экспертиза проектов организационно-распорядительных документов ГБУСО «</w:t>
                                    </w:r>
                                    <w:proofErr w:type="spellStart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</w:t>
                                    </w:r>
                                    <w:r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»: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положение об оплате труда</w:t>
                                    </w:r>
                                    <w:r w:rsidR="00DB7B4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работников ГБУСО </w:t>
                                    </w:r>
                                    <w:r w:rsidR="00DB7B41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«</w:t>
                                    </w:r>
                                    <w:proofErr w:type="spellStart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</w:t>
                                    </w:r>
                                    <w:r w:rsidR="00DB7B41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»,</w:t>
                                    </w:r>
                                    <w:r w:rsidR="00DB7B41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положение о предоставлении платных услуг, формирования и учета средств, расходовании денежных средств, полученных от оказания платных услуг в ГБУСО </w:t>
                                    </w:r>
                                    <w:r w:rsidR="00DB7B41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«</w:t>
                                    </w:r>
                                    <w:proofErr w:type="spellStart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</w:t>
                                    </w:r>
                                    <w:r w:rsidR="00DB7B41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»</w:t>
                                    </w:r>
                                    <w:r w:rsid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В представленных проектах организационно- распорядительных документов ГБУСО </w:t>
                                    </w:r>
                                    <w:r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«</w:t>
                                    </w:r>
                                    <w:proofErr w:type="spellStart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8A3B14" w:rsidRP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ЦСОН»</w:t>
                                    </w:r>
                                    <w:r w:rsidR="008A3B14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коррупциогенные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факторы не выявлены.</w:t>
                                    </w:r>
                                  </w:p>
                                  <w:p w:rsidR="00CD6387" w:rsidRPr="00A9203E" w:rsidRDefault="00CD6387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          </w:t>
                                    </w:r>
                                    <w:r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Членами</w:t>
                                    </w:r>
                                    <w:r w:rsidRPr="00772DDA">
                                      <w:rPr>
                                        <w:rFonts w:eastAsia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772DDA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комиссии </w:t>
                                    </w:r>
                                    <w:r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регулярно проводятся служебные проверки соблюдения работниками учреждения правил внутреннего трудового распорядка, кодекса этики и служебного поведения работников ГБУСО «</w:t>
                                    </w:r>
                                    <w:proofErr w:type="spellStart"/>
                                    <w:r w:rsidR="00772DDA"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772DDA"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</w:t>
                                    </w:r>
                                    <w:r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».</w:t>
                                    </w:r>
                                  </w:p>
                                  <w:p w:rsidR="007D6486" w:rsidRDefault="00CD6387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            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На официальном сайте учреждения размещена информация о дате создания, учредителе, месте нахождения, режиме, графике работы, правилах внутреннего трудового распорядка, контактных телефонах и адресах электронной почты, руководителе учреждения, иная информация для получателей социальных услуг по видам социальных услуг, предусмотрены раздел и форма для электронного обращения граждан.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             Раздел сайта «Противодействие коррупции» состоит </w:t>
                                    </w:r>
                                    <w:r w:rsidR="007D6486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                   </w:t>
                                    </w:r>
                                    <w:proofErr w:type="gramStart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из</w:t>
                                    </w:r>
                                    <w:proofErr w:type="gram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7D6486" w:rsidRDefault="007D6486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CD6387" w:rsidRPr="005E525F" w:rsidRDefault="00CD6387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следующих подразделов: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- </w:t>
                                    </w:r>
                                    <w:proofErr w:type="gramStart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«Заявить о факте коррупции» (в этом разделе имеется информация о номерах телефонов, по которым граждане могут заявить о фактах коррупции, а именно, телефон директора учреждения, телефон доверия министерства, телефон доверия ГУВД по Ставропольскому краю, телефон дежурной части ОМВД России по </w:t>
                                    </w:r>
                                    <w:proofErr w:type="spellStart"/>
                                    <w:r w:rsid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Благодарненскому</w:t>
                                    </w:r>
                                    <w:proofErr w:type="spell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району, телефон дежурной части Прокуратуры Ставропольского края, телефон прокуратуры </w:t>
                                    </w:r>
                                    <w:proofErr w:type="spellStart"/>
                                    <w:r w:rsid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Благодарненского</w:t>
                                    </w:r>
                                    <w:proofErr w:type="spell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района Ставропольского края);</w:t>
                                    </w:r>
                                    <w:proofErr w:type="gram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- «Нормативные правовые акты и иные акты в сфере противодействия коррупции»;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- «Методические материалы» (в этом разделе можно ознакомиться с антикоррупционными памятками, </w:t>
                                    </w:r>
                                    <w:proofErr w:type="spellStart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видеопрезентацией</w:t>
                                    </w:r>
                                    <w:proofErr w:type="spell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на данную тему, другими материалами);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- «Доклады, отчеты, обзоры, статистическая информация по вопросам противодействия коррупции».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           В разделе сайта «О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тдых и оздоровление детей» еже</w:t>
                                    </w:r>
                                    <w:r w:rsidR="00716F0C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 w:rsidR="00716F0C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сяч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но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обновляется информация об очередности на санаторно-курортное лечение, количестве имеющихся путевок в санатории по профилю лечения и о количестве детей, состоящих на очереди и получивших санаторно-курортные путевки. Кабинет специалиста, осуществляющего оформление и выдачу путевок, оснащен камерой видеонаблюдения, жу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рналы очередности пронумерованы, прошнурованы.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             </w:t>
                                    </w:r>
                                    <w:proofErr w:type="gramStart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На официальном сайте для размещения информации о государственных (муниципальных) учреждениях www.bus.gov.ru размещены копия устава, копии лицензии на осуществление медицинской деятельности (с приложениями), копия плана финансово-хозяйственной деятельности, копии документа о порядке предоставления социальных услуг за плату, образец договора о предоставлении социальных услуг за плату, копии предписаний органов, осуществляющих государственный контроль в сфере социального обслуживания, отчетов об исполнении предписаний</w:t>
                                    </w:r>
                                    <w:proofErr w:type="gram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             На информационных уголках учреждения размещена следующая информация: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- </w:t>
                                    </w:r>
                                    <w:proofErr w:type="gramStart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Закон РФ от 7 февраля 1992 г. № 2300-1 «О защите прав потребителей»;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- Федеральный закон от 28 декабря 2013 года № 442-ФЗ «Об основах социального обслуживания граждан в Российской Федерации»;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- тарифы для физических и юридических лиц за услуги (работы) оказываемых государственным бюджетным учреждением социального обслуживания «</w:t>
                                    </w:r>
                                    <w:proofErr w:type="spellStart"/>
                                    <w:r w:rsidR="00716F0C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центр социального обслуживания населения», не относящихся к основным видам деятельности учреждения;</w:t>
                                    </w:r>
                                    <w:proofErr w:type="gram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- </w:t>
                                    </w:r>
                                    <w:r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Кодекс </w:t>
                                    </w:r>
                                    <w:r w:rsidR="00772DDA"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r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лужебного поведения </w:t>
                                    </w:r>
                                    <w:r w:rsidR="00772DDA"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социальных </w:t>
                                    </w:r>
                                    <w:r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работников ГБУСО «</w:t>
                                    </w:r>
                                    <w:proofErr w:type="spellStart"/>
                                    <w:r w:rsidR="00772DDA"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772DDA"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</w:t>
                                    </w:r>
                                    <w:r w:rsidRPr="00772DDA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»,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утвержденный приказом директора Центра;  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- телефоны экстренных служб и контролирующих органов;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- книга отзывов и предложений (предоставляется по требованию потребителя);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- график приема граждан руководителем учреждения, его заместителями;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>-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иная информация.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             </w:t>
                                    </w:r>
                                    <w:proofErr w:type="gramStart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Закупочная деятельность учреждения осуществляется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года № 223-ФЗ «О закупках товаров, работ, услуг отдельными видами юридических лиц», Положением о закупке товаров, работ, услуг для нужд государственного бюджетного учреждения социального обслуживания</w:t>
                                    </w:r>
                                    <w:proofErr w:type="gram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«</w:t>
                                    </w:r>
                                    <w:proofErr w:type="spellStart"/>
                                    <w:r w:rsidR="00716F0C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центр социального обслуживания населения». Информация о закупках размещается на едином официальном сайте zakupki.gov.ru.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br/>
                                      <w:t xml:space="preserve">              В учреждении создана комиссия по приему, учету и использованию благотворительной помощи в ГБУСО «</w:t>
                                    </w:r>
                                    <w:proofErr w:type="spellStart"/>
                                    <w:r w:rsidR="00716F0C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716F0C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ЦСОН»</w:t>
                                    </w:r>
                                    <w:r w:rsid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. </w:t>
                                    </w:r>
                                    <w:proofErr w:type="gramStart"/>
                                    <w:r w:rsidRPr="005E525F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Деятельность по привлечению благотворительной помощи в учреждении ведется в соответствии с Федеральным законом от 11.08.1995 г. № 135-ФЗ «О благотворительной деятельности и благотворительных организациях» и  </w:t>
                                    </w:r>
                                    <w:r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Порядком привлечения и использования благотворительной помощи, утвержденным приказом министерства от 01.09.2014 г. № 450,</w:t>
                                    </w:r>
                                    <w:r w:rsidRPr="005E525F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Положением о работе </w:t>
                                    </w:r>
                                    <w:r w:rsidR="00F46B43"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комиссия по приему, учету и использованию благотворительной помощи в ГБУСО «</w:t>
                                    </w:r>
                                    <w:proofErr w:type="spellStart"/>
                                    <w:r w:rsid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F46B43"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ЦСОН»</w:t>
                                    </w:r>
                                    <w:r w:rsid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, </w:t>
                                    </w:r>
                                    <w:r w:rsidR="00F46B43"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утвержденные</w:t>
                                    </w:r>
                                    <w:r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приказом директора </w:t>
                                    </w:r>
                                    <w:r w:rsidR="00F46B43"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центра  от 20.01</w:t>
                                    </w:r>
                                    <w:r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.201</w:t>
                                    </w:r>
                                    <w:r w:rsidR="00F46B43"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г.  № </w:t>
                                    </w:r>
                                    <w:r w:rsidR="00F46B43"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37</w:t>
                                    </w:r>
                                    <w:proofErr w:type="gramEnd"/>
                                    <w:r w:rsidRPr="00F46B43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 w:rsidRPr="005E525F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Прием благотворительной помощи в виде денежных средств осуществляется в безналичной форме путем их перечисления на лицевой счет учреждения, в виде натуральной помощи – по акту комиссией. Поступающая помощь распределяется решением комиссии по приему, учету и использованию благотворительной помощи, в том числе с привлечением благотворителей, попечительского совета.</w:t>
                                    </w:r>
                                  </w:p>
                                  <w:p w:rsidR="00CD6387" w:rsidRPr="005E525F" w:rsidRDefault="00CD6387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          </w:t>
                                    </w:r>
                                    <w:r w:rsidRPr="005E525F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В учреждении проводится постоянная  разъяснительная работа с сотрудниками учреждения, направленная на формирование антикоррупционного мировоззрения, повышение уровня правосознания и правовой культуры с привлечением работников правоохранительных органов.  На производственных собраниях работников структурных подразделений Центра рассмотрены следующие вопросы:</w:t>
                                    </w:r>
                                  </w:p>
                                  <w:p w:rsidR="00CD6387" w:rsidRPr="005E525F" w:rsidRDefault="00CD6387" w:rsidP="0024722D">
                                    <w:pPr>
                                      <w:pStyle w:val="Standard"/>
                                      <w:tabs>
                                        <w:tab w:val="left" w:pos="45"/>
                                      </w:tabs>
                                      <w:ind w:left="45" w:firstLine="522"/>
                                      <w:jc w:val="both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  <w:t>1) международные документы и действующее законодательство Российской Федерации в области противодействия коррупции;</w:t>
                                    </w:r>
                                  </w:p>
                                  <w:p w:rsidR="009160B0" w:rsidRPr="005E525F" w:rsidRDefault="00CD6387" w:rsidP="009160B0">
                                    <w:pPr>
                                      <w:pStyle w:val="Standard"/>
                                      <w:tabs>
                                        <w:tab w:val="left" w:pos="45"/>
                                      </w:tabs>
                                      <w:ind w:left="45" w:firstLine="522"/>
                                      <w:jc w:val="both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  <w:t>2) порядок уведомления служащего и работника о фактах склонения к совершени</w:t>
                                    </w:r>
                                    <w:r w:rsidR="009160B0"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  <w:t>ю коррупционного правонарушения.</w:t>
                                    </w:r>
                                  </w:p>
                                  <w:p w:rsidR="00CD6387" w:rsidRDefault="00CD6387" w:rsidP="0024722D">
                                    <w:pPr>
                                      <w:pStyle w:val="Standard"/>
                                      <w:tabs>
                                        <w:tab w:val="left" w:pos="45"/>
                                      </w:tabs>
                                      <w:ind w:left="45" w:firstLine="522"/>
                                      <w:jc w:val="both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  <w:t xml:space="preserve">           </w:t>
                                    </w:r>
                                    <w:proofErr w:type="gramStart"/>
                                    <w:r w:rsidRPr="005E525F"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  <w:t xml:space="preserve">При  проведении бесед, лекций, консультаций были использованы материалы Обзора рекомендаций по осуществлению комплекса организационных, разъяснительных и иных мер по </w:t>
                                    </w:r>
                                    <w:r w:rsidRPr="005E525F"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недопущению должностными лицами поведения, которое может восприниматься окружающими как обещание дачи взятки либо как согласие принять взятку или как просьба о даче взятки, разработанного Министерством труда и социальной защиты Российской Федерации, Национального плана противодействия коррупции на 2012-2013 годы, утвержденного Указом Президента</w:t>
                                    </w:r>
                                    <w:proofErr w:type="gramEnd"/>
                                    <w:r w:rsidRPr="005E525F"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</w:rPr>
                                      <w:t xml:space="preserve"> Российской Федерации от 13 марта 2012 года № 297.</w:t>
                                    </w:r>
                                  </w:p>
                                  <w:p w:rsidR="00CD6387" w:rsidRPr="005E525F" w:rsidRDefault="00CD6387" w:rsidP="0024722D">
                                    <w:pPr>
                                      <w:spacing w:line="240" w:lineRule="auto"/>
                                      <w:ind w:firstLine="567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Специалистами Центра </w:t>
                                    </w:r>
                                    <w:r w:rsidR="00EC0775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распространены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памятки, </w:t>
                                    </w:r>
                                    <w:r w:rsidRPr="005E525F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информационные листки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b w:val="0"/>
                                        <w:sz w:val="28"/>
                                        <w:szCs w:val="28"/>
                                      </w:rPr>
                                      <w:t>по противодействию коррупции</w:t>
                                    </w:r>
                                    <w:r w:rsidRPr="005E525F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b w:val="0"/>
                                        <w:sz w:val="28"/>
                                        <w:szCs w:val="28"/>
                                      </w:rPr>
                                      <w:t xml:space="preserve">: </w:t>
                                    </w:r>
                                    <w:r w:rsidR="00EC0775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b w:val="0"/>
                                        <w:sz w:val="28"/>
                                        <w:szCs w:val="28"/>
                                      </w:rPr>
                                      <w:t>«Памятка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                        </w:r>
                                    <w:r w:rsidRPr="005E525F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b w:val="0"/>
                                        <w:sz w:val="28"/>
                                        <w:szCs w:val="28"/>
                                      </w:rPr>
                                      <w:t>»</w:t>
                                    </w:r>
                                    <w:r w:rsidR="00EC0775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b w:val="0"/>
                                        <w:sz w:val="28"/>
                                        <w:szCs w:val="28"/>
                                      </w:rPr>
                                      <w:t xml:space="preserve">, «Правила о фактах совершения коррупционных правонарушений» </w:t>
                                    </w:r>
                                    <w:r w:rsidRPr="005E525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и др.,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которые распространены среди</w:t>
                                    </w:r>
                                    <w:r w:rsidRPr="005E525F"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 xml:space="preserve"> получателей социальных услуг учреждения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, </w:t>
                                    </w:r>
                                    <w:r w:rsidRP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посетителей </w:t>
                                    </w:r>
                                    <w:r w:rsidR="00F46B43" w:rsidRP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социальных комнат </w:t>
                                    </w:r>
                                    <w:r w:rsidRPr="00F46B43"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 xml:space="preserve">Центра в отдаленных населенных пунктах </w:t>
                                    </w:r>
                                    <w:r w:rsidRP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района.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Антикоррупционные памятки у  каждого работника имеются на рабочем месте.</w:t>
                                    </w:r>
                                  </w:p>
                                  <w:p w:rsidR="00CD6387" w:rsidRDefault="00CD6387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</w:pPr>
                                    <w:r w:rsidRPr="005E525F"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 xml:space="preserve">            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Население  района информировано по данной п</w:t>
                                    </w:r>
                                    <w:r w:rsidRPr="005E525F"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>роблеме  через СМИ:  на официальном сайте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ГБУСО </w:t>
                                    </w:r>
                                    <w:r w:rsidRP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«</w:t>
                                    </w:r>
                                    <w:proofErr w:type="spellStart"/>
                                    <w:r w:rsidR="00F46B43" w:rsidRP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>Благодарненский</w:t>
                                    </w:r>
                                    <w:proofErr w:type="spellEnd"/>
                                    <w:r w:rsidR="00F46B43" w:rsidRP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  <w:t xml:space="preserve"> ЦСОН</w:t>
                                    </w:r>
                                    <w:r w:rsidRPr="00F46B43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>»</w:t>
                                    </w:r>
                                    <w:r w:rsidRPr="005E525F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  <w:t xml:space="preserve"> </w:t>
                                    </w:r>
                                    <w:r w:rsidRPr="005E525F"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 xml:space="preserve">размещены  памятки на </w:t>
                                    </w:r>
                                    <w:proofErr w:type="spellStart"/>
                                    <w:r w:rsidRPr="005E525F"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>антикоррупционую</w:t>
                                    </w:r>
                                    <w:proofErr w:type="spellEnd"/>
                                    <w:r w:rsidRPr="005E525F"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 xml:space="preserve"> тематику.</w:t>
                                    </w:r>
                                  </w:p>
                                  <w:p w:rsidR="00EC0775" w:rsidRDefault="00EC0775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</w:pPr>
                                  </w:p>
                                  <w:p w:rsidR="00EC0775" w:rsidRDefault="00EC0775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</w:pPr>
                                  </w:p>
                                  <w:p w:rsidR="00EC0775" w:rsidRDefault="00EC0775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</w:pPr>
                                  </w:p>
                                  <w:p w:rsidR="00EC0775" w:rsidRDefault="00EC0775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</w:pPr>
                                  </w:p>
                                  <w:p w:rsidR="00EC0775" w:rsidRPr="005E525F" w:rsidRDefault="00EC0775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 xml:space="preserve">Заместитель директора                                                            С.Х. 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hAnsi="Times New Roman"/>
                                        <w:sz w:val="28"/>
                                      </w:rPr>
                                      <w:t>Огаджанян</w:t>
                                    </w:r>
                                    <w:proofErr w:type="spellEnd"/>
                                  </w:p>
                                  <w:p w:rsidR="00CD6387" w:rsidRPr="005E525F" w:rsidRDefault="00CD6387" w:rsidP="0024722D">
                                    <w:pPr>
                                      <w:spacing w:before="100" w:beforeAutospacing="1" w:after="240"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EC0775" w:rsidRPr="005E525F" w:rsidTr="0024722D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9385" w:type="dxa"/>
                                  </w:tcPr>
                                  <w:p w:rsidR="00EC0775" w:rsidRPr="005E525F" w:rsidRDefault="00EC0775" w:rsidP="0024722D">
                                    <w:pPr>
                                      <w:spacing w:line="240" w:lineRule="auto"/>
                                      <w:contextualSpacing/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76F21" w:rsidRPr="003770E9" w:rsidRDefault="00A76F21" w:rsidP="00665B81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A76F21" w:rsidRPr="00AC23BF" w:rsidRDefault="00A76F21" w:rsidP="00A76F21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73"/>
                        </w:tblGrid>
                        <w:tr w:rsidR="00A76F21" w:rsidRPr="005E525F" w:rsidTr="00665B81">
                          <w:trPr>
                            <w:tblCellSpacing w:w="15" w:type="dxa"/>
                          </w:trPr>
                          <w:tc>
                            <w:tcPr>
                              <w:tcW w:w="9385" w:type="dxa"/>
                              <w:hideMark/>
                            </w:tcPr>
                            <w:p w:rsidR="00A76F21" w:rsidRPr="005E525F" w:rsidRDefault="00A76F21" w:rsidP="00665B81">
                              <w:pPr>
                                <w:spacing w:before="100" w:beforeAutospacing="1" w:after="24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F74AC4" w:rsidRPr="003770E9" w:rsidRDefault="00F74AC4" w:rsidP="002D50E0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74AC4" w:rsidRPr="005E525F" w:rsidTr="002D50E0">
                    <w:trPr>
                      <w:tblCellSpacing w:w="15" w:type="dxa"/>
                    </w:trPr>
                    <w:tc>
                      <w:tcPr>
                        <w:tcW w:w="9385" w:type="dxa"/>
                        <w:hideMark/>
                      </w:tcPr>
                      <w:p w:rsidR="00F74AC4" w:rsidRPr="005E525F" w:rsidRDefault="00F74AC4" w:rsidP="002D50E0">
                        <w:pPr>
                          <w:spacing w:before="100" w:beforeAutospacing="1" w:after="240" w:line="240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C3F5B" w:rsidRPr="003770E9" w:rsidRDefault="00DC3F5B" w:rsidP="00716F0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DC3F5B" w:rsidRPr="00AC23BF" w:rsidRDefault="00DC3F5B" w:rsidP="00DC3F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45"/>
            </w:tblGrid>
            <w:tr w:rsidR="00DC3F5B" w:rsidRPr="005E525F" w:rsidTr="00563298">
              <w:trPr>
                <w:tblCellSpacing w:w="15" w:type="dxa"/>
              </w:trPr>
              <w:tc>
                <w:tcPr>
                  <w:tcW w:w="9385" w:type="dxa"/>
                  <w:hideMark/>
                </w:tcPr>
                <w:p w:rsidR="002B1967" w:rsidRPr="005E525F" w:rsidRDefault="002B1967" w:rsidP="00563298">
                  <w:pPr>
                    <w:spacing w:before="100" w:beforeAutospacing="1" w:after="2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C3F5B" w:rsidRPr="005772E6" w:rsidTr="00563298">
              <w:trPr>
                <w:tblCellSpacing w:w="15" w:type="dxa"/>
              </w:trPr>
              <w:tc>
                <w:tcPr>
                  <w:tcW w:w="9385" w:type="dxa"/>
                </w:tcPr>
                <w:p w:rsidR="00DC3F5B" w:rsidRPr="005772E6" w:rsidRDefault="00DC3F5B" w:rsidP="00563298">
                  <w:pPr>
                    <w:spacing w:before="100" w:beforeAutospacing="1" w:after="2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83AA7" w:rsidRPr="003770E9" w:rsidRDefault="00583AA7" w:rsidP="003770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F69F8" w:rsidRPr="00AC23BF" w:rsidRDefault="00BF69F8" w:rsidP="00AC23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sectPr w:rsidR="00BF69F8" w:rsidRPr="00AC23BF" w:rsidSect="0082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57CE"/>
    <w:multiLevelType w:val="hybridMultilevel"/>
    <w:tmpl w:val="FA2E58F4"/>
    <w:lvl w:ilvl="0" w:tplc="2AA2ED44">
      <w:start w:val="1"/>
      <w:numFmt w:val="decimal"/>
      <w:lvlText w:val="%1."/>
      <w:lvlJc w:val="left"/>
      <w:pPr>
        <w:ind w:left="689" w:hanging="405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1772B39"/>
    <w:multiLevelType w:val="hybridMultilevel"/>
    <w:tmpl w:val="FA2E58F4"/>
    <w:lvl w:ilvl="0" w:tplc="2AA2ED44">
      <w:start w:val="1"/>
      <w:numFmt w:val="decimal"/>
      <w:lvlText w:val="%1."/>
      <w:lvlJc w:val="left"/>
      <w:pPr>
        <w:ind w:left="689" w:hanging="405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9F8"/>
    <w:rsid w:val="00015538"/>
    <w:rsid w:val="00031A54"/>
    <w:rsid w:val="00077049"/>
    <w:rsid w:val="00077E23"/>
    <w:rsid w:val="000A0C38"/>
    <w:rsid w:val="000E1B6D"/>
    <w:rsid w:val="00135065"/>
    <w:rsid w:val="001B3064"/>
    <w:rsid w:val="001D0EF5"/>
    <w:rsid w:val="001F3BE7"/>
    <w:rsid w:val="00212AF5"/>
    <w:rsid w:val="00216E3D"/>
    <w:rsid w:val="00241408"/>
    <w:rsid w:val="002A0986"/>
    <w:rsid w:val="002B1967"/>
    <w:rsid w:val="002C5CA0"/>
    <w:rsid w:val="002E38B4"/>
    <w:rsid w:val="003028E7"/>
    <w:rsid w:val="003229C4"/>
    <w:rsid w:val="003770E9"/>
    <w:rsid w:val="003B1530"/>
    <w:rsid w:val="003F196C"/>
    <w:rsid w:val="004B7055"/>
    <w:rsid w:val="004C718D"/>
    <w:rsid w:val="004E00AF"/>
    <w:rsid w:val="00542E99"/>
    <w:rsid w:val="005540DD"/>
    <w:rsid w:val="005772E6"/>
    <w:rsid w:val="00583AA7"/>
    <w:rsid w:val="005E525F"/>
    <w:rsid w:val="00627368"/>
    <w:rsid w:val="006E162A"/>
    <w:rsid w:val="007074E8"/>
    <w:rsid w:val="00716F0C"/>
    <w:rsid w:val="00734AED"/>
    <w:rsid w:val="00772DDA"/>
    <w:rsid w:val="007D6486"/>
    <w:rsid w:val="007E7B9D"/>
    <w:rsid w:val="00803791"/>
    <w:rsid w:val="00821378"/>
    <w:rsid w:val="008356A4"/>
    <w:rsid w:val="008A3268"/>
    <w:rsid w:val="008A3B14"/>
    <w:rsid w:val="008A72BB"/>
    <w:rsid w:val="00911871"/>
    <w:rsid w:val="00912910"/>
    <w:rsid w:val="009160B0"/>
    <w:rsid w:val="00944970"/>
    <w:rsid w:val="009671F1"/>
    <w:rsid w:val="009B5C34"/>
    <w:rsid w:val="009C19C6"/>
    <w:rsid w:val="009F4490"/>
    <w:rsid w:val="00A21362"/>
    <w:rsid w:val="00A41B7B"/>
    <w:rsid w:val="00A76F21"/>
    <w:rsid w:val="00A80A24"/>
    <w:rsid w:val="00A9203E"/>
    <w:rsid w:val="00A9745B"/>
    <w:rsid w:val="00AA4283"/>
    <w:rsid w:val="00AC23BF"/>
    <w:rsid w:val="00AD6033"/>
    <w:rsid w:val="00B05D50"/>
    <w:rsid w:val="00B22898"/>
    <w:rsid w:val="00BF69F8"/>
    <w:rsid w:val="00C079F9"/>
    <w:rsid w:val="00C56B9A"/>
    <w:rsid w:val="00C704EB"/>
    <w:rsid w:val="00C82A2F"/>
    <w:rsid w:val="00C867C0"/>
    <w:rsid w:val="00CA2EAA"/>
    <w:rsid w:val="00CC2804"/>
    <w:rsid w:val="00CD6387"/>
    <w:rsid w:val="00CF12F5"/>
    <w:rsid w:val="00D211A2"/>
    <w:rsid w:val="00DB7B41"/>
    <w:rsid w:val="00DC3F5B"/>
    <w:rsid w:val="00E61259"/>
    <w:rsid w:val="00E84008"/>
    <w:rsid w:val="00EB4012"/>
    <w:rsid w:val="00EC0775"/>
    <w:rsid w:val="00EF0D51"/>
    <w:rsid w:val="00F071E8"/>
    <w:rsid w:val="00F10177"/>
    <w:rsid w:val="00F303D9"/>
    <w:rsid w:val="00F46B43"/>
    <w:rsid w:val="00F56BA2"/>
    <w:rsid w:val="00F66EC8"/>
    <w:rsid w:val="00F7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074E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4">
    <w:name w:val="Strong"/>
    <w:basedOn w:val="a0"/>
    <w:qFormat/>
    <w:rsid w:val="005E525F"/>
    <w:rPr>
      <w:b/>
      <w:bCs/>
    </w:rPr>
  </w:style>
  <w:style w:type="paragraph" w:styleId="a5">
    <w:name w:val="List Paragraph"/>
    <w:basedOn w:val="a"/>
    <w:uiPriority w:val="34"/>
    <w:qFormat/>
    <w:rsid w:val="00A76F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Comp_3</cp:lastModifiedBy>
  <cp:revision>62</cp:revision>
  <cp:lastPrinted>2025-10-09T09:55:00Z</cp:lastPrinted>
  <dcterms:created xsi:type="dcterms:W3CDTF">2014-10-28T07:25:00Z</dcterms:created>
  <dcterms:modified xsi:type="dcterms:W3CDTF">2025-10-09T09:55:00Z</dcterms:modified>
</cp:coreProperties>
</file>