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"/>
        <w:gridCol w:w="445"/>
        <w:gridCol w:w="445"/>
        <w:gridCol w:w="445"/>
        <w:gridCol w:w="445"/>
        <w:gridCol w:w="361"/>
        <w:gridCol w:w="360"/>
        <w:gridCol w:w="361"/>
        <w:gridCol w:w="348"/>
        <w:gridCol w:w="345"/>
        <w:gridCol w:w="347"/>
        <w:gridCol w:w="304"/>
        <w:gridCol w:w="304"/>
        <w:gridCol w:w="304"/>
        <w:gridCol w:w="360"/>
        <w:gridCol w:w="359"/>
        <w:gridCol w:w="360"/>
        <w:gridCol w:w="347"/>
        <w:gridCol w:w="345"/>
        <w:gridCol w:w="347"/>
        <w:gridCol w:w="305"/>
        <w:gridCol w:w="306"/>
        <w:gridCol w:w="303"/>
        <w:gridCol w:w="304"/>
        <w:gridCol w:w="304"/>
        <w:gridCol w:w="304"/>
        <w:gridCol w:w="304"/>
        <w:gridCol w:w="304"/>
        <w:gridCol w:w="304"/>
        <w:gridCol w:w="239"/>
        <w:gridCol w:w="239"/>
        <w:gridCol w:w="239"/>
        <w:gridCol w:w="254"/>
        <w:gridCol w:w="281"/>
        <w:gridCol w:w="283"/>
        <w:gridCol w:w="284"/>
        <w:gridCol w:w="263"/>
        <w:gridCol w:w="263"/>
        <w:gridCol w:w="263"/>
        <w:gridCol w:w="262"/>
        <w:gridCol w:w="262"/>
        <w:gridCol w:w="264"/>
        <w:gridCol w:w="282"/>
        <w:gridCol w:w="282"/>
        <w:gridCol w:w="282"/>
        <w:gridCol w:w="263"/>
        <w:gridCol w:w="263"/>
        <w:gridCol w:w="263"/>
        <w:gridCol w:w="262"/>
        <w:gridCol w:w="262"/>
        <w:gridCol w:w="264"/>
      </w:tblGrid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Pr="00FA4259" w:rsidRDefault="00F816E5" w:rsidP="00901976">
            <w:pPr>
              <w:jc w:val="center"/>
              <w:rPr>
                <w:sz w:val="28"/>
                <w:szCs w:val="28"/>
              </w:rPr>
            </w:pPr>
            <w:r w:rsidRPr="00FA4259">
              <w:rPr>
                <w:sz w:val="28"/>
                <w:szCs w:val="28"/>
              </w:rPr>
              <w:t>УТВЕРЖДАЮ</w:t>
            </w:r>
          </w:p>
        </w:tc>
      </w:tr>
      <w:tr w:rsidR="00076FA9" w:rsidTr="00176B56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59" w:rsidRPr="001E3471" w:rsidRDefault="00F816E5" w:rsidP="00FA4259">
            <w:pPr>
              <w:jc w:val="center"/>
              <w:rPr>
                <w:sz w:val="28"/>
                <w:szCs w:val="28"/>
              </w:rPr>
            </w:pPr>
            <w:r w:rsidRPr="001E3471">
              <w:rPr>
                <w:sz w:val="28"/>
                <w:szCs w:val="28"/>
              </w:rPr>
              <w:t xml:space="preserve">Министр труда и социальной защиты населения </w:t>
            </w:r>
          </w:p>
          <w:p w:rsidR="00076FA9" w:rsidRDefault="00F816E5" w:rsidP="00FA4259">
            <w:pPr>
              <w:jc w:val="center"/>
            </w:pPr>
            <w:r w:rsidRPr="001E3471">
              <w:rPr>
                <w:sz w:val="28"/>
                <w:szCs w:val="28"/>
              </w:rPr>
              <w:t>Ставропольского края</w:t>
            </w:r>
          </w:p>
        </w:tc>
      </w:tr>
      <w:tr w:rsidR="00076FA9" w:rsidTr="00176B56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16"/>
                <w:szCs w:val="16"/>
              </w:rPr>
            </w:pPr>
          </w:p>
        </w:tc>
      </w:tr>
      <w:tr w:rsidR="00076FA9" w:rsidTr="00176B56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176B56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</w:tr>
      <w:tr w:rsidR="00076FA9" w:rsidTr="0056186A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16"/>
                <w:szCs w:val="16"/>
              </w:rPr>
            </w:pPr>
            <w:proofErr w:type="spellStart"/>
            <w:r w:rsidRPr="001E347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</w:t>
            </w:r>
            <w:r w:rsidRPr="001E3471">
              <w:rPr>
                <w:sz w:val="28"/>
                <w:szCs w:val="28"/>
              </w:rPr>
              <w:t>_И.И.Ульянченко</w:t>
            </w:r>
            <w:proofErr w:type="spellEnd"/>
          </w:p>
        </w:tc>
      </w:tr>
      <w:tr w:rsidR="00076FA9" w:rsidTr="0056186A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6123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>«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»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3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ИЗМЕНЕНИЯ В </w:t>
            </w:r>
            <w:r>
              <w:rPr>
                <w:b/>
                <w:bCs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100039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10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right"/>
            </w:pPr>
            <w:r>
              <w:t>на 2017 год и на плановый период 2018 и</w:t>
            </w:r>
            <w:r>
              <w:t xml:space="preserve"> 2019 годов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076FA9">
            <w:pPr>
              <w:jc w:val="center"/>
            </w:pPr>
            <w:r>
              <w:t>от 22 декабря 2017 г.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Коды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Наименование государственного учреждения Ставропольского края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Форма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0506001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государственное бюджетное учреждение социального обслуживания "</w:t>
            </w:r>
            <w:proofErr w:type="spellStart"/>
            <w:r>
              <w:t>Благодарненский</w:t>
            </w:r>
            <w:proofErr w:type="spellEnd"/>
            <w:r>
              <w:t xml:space="preserve"> центр социального обслуживания населения"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ОКУД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Дата 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076FA9">
            <w:pPr>
              <w:jc w:val="center"/>
            </w:pPr>
            <w:r>
              <w:t>22.12.2017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Виды деятельности государственного учреждения Ставропольского края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сводному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реестру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Предоставление социальных услуг без обеспечения проживания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ОКВЭД 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88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Деятельность по уходу с обеспечением проживания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</w:t>
            </w:r>
            <w:r>
              <w:t xml:space="preserve">ОКВЭД 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87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Вид государственного учреждения Ставропольского края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вид государственного учреждения из базового (отраслевого) перечня государственных услуг (работ) (далее – базовый (отраслевой) перечень)</w:t>
            </w:r>
            <w:proofErr w:type="gram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19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</w:tbl>
    <w:p w:rsidR="00076FA9" w:rsidRDefault="00F816E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"/>
        <w:gridCol w:w="445"/>
        <w:gridCol w:w="445"/>
        <w:gridCol w:w="445"/>
        <w:gridCol w:w="445"/>
        <w:gridCol w:w="361"/>
        <w:gridCol w:w="360"/>
        <w:gridCol w:w="361"/>
        <w:gridCol w:w="348"/>
        <w:gridCol w:w="345"/>
        <w:gridCol w:w="347"/>
        <w:gridCol w:w="304"/>
        <w:gridCol w:w="304"/>
        <w:gridCol w:w="304"/>
        <w:gridCol w:w="360"/>
        <w:gridCol w:w="359"/>
        <w:gridCol w:w="360"/>
        <w:gridCol w:w="347"/>
        <w:gridCol w:w="345"/>
        <w:gridCol w:w="347"/>
        <w:gridCol w:w="305"/>
        <w:gridCol w:w="306"/>
        <w:gridCol w:w="303"/>
        <w:gridCol w:w="304"/>
        <w:gridCol w:w="304"/>
        <w:gridCol w:w="304"/>
        <w:gridCol w:w="304"/>
        <w:gridCol w:w="304"/>
        <w:gridCol w:w="304"/>
        <w:gridCol w:w="239"/>
        <w:gridCol w:w="239"/>
        <w:gridCol w:w="239"/>
        <w:gridCol w:w="254"/>
        <w:gridCol w:w="281"/>
        <w:gridCol w:w="283"/>
        <w:gridCol w:w="284"/>
        <w:gridCol w:w="263"/>
        <w:gridCol w:w="263"/>
        <w:gridCol w:w="263"/>
        <w:gridCol w:w="262"/>
        <w:gridCol w:w="262"/>
        <w:gridCol w:w="264"/>
        <w:gridCol w:w="282"/>
        <w:gridCol w:w="282"/>
        <w:gridCol w:w="282"/>
        <w:gridCol w:w="263"/>
        <w:gridCol w:w="263"/>
        <w:gridCol w:w="263"/>
        <w:gridCol w:w="262"/>
        <w:gridCol w:w="262"/>
        <w:gridCol w:w="264"/>
      </w:tblGrid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lastRenderedPageBreak/>
              <w:t xml:space="preserve">Часть 1. Сведения об </w:t>
            </w:r>
            <w:r>
              <w:t>оказываемых государственных услугах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Раздел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1. Наименование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220420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базовому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2. Категории потребителей государственной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самообслуживание, самостоятельно п</w:t>
            </w:r>
            <w:r>
              <w:t>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 Показатели, характеризующие объем и </w:t>
            </w:r>
            <w:r>
              <w:t>(или) качество государственной услуги: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3.1. Показатели, характеризующие качество государственной услуги: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аписи</w:t>
            </w:r>
          </w:p>
        </w:tc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</w:t>
            </w:r>
            <w:r>
              <w:rPr>
                <w:sz w:val="20"/>
                <w:szCs w:val="20"/>
              </w:rPr>
              <w:t xml:space="preserve">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070000000120000160322042001001100001008100102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</w:t>
            </w:r>
            <w:r>
              <w:rPr>
                <w:sz w:val="20"/>
                <w:szCs w:val="20"/>
              </w:rPr>
              <w:t>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</w:t>
            </w:r>
            <w:r>
              <w:rPr>
                <w:sz w:val="20"/>
                <w:szCs w:val="20"/>
              </w:rPr>
              <w:lastRenderedPageBreak/>
              <w:t xml:space="preserve">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</w:t>
            </w:r>
            <w:r>
              <w:rPr>
                <w:sz w:val="20"/>
                <w:szCs w:val="20"/>
              </w:rPr>
              <w:t>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</w:t>
            </w:r>
            <w:r>
              <w:rPr>
                <w:sz w:val="20"/>
                <w:szCs w:val="20"/>
              </w:rPr>
              <w:t>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законодательства </w:t>
            </w:r>
            <w:r>
              <w:rPr>
                <w:sz w:val="20"/>
                <w:szCs w:val="20"/>
              </w:rPr>
              <w:t>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специалистами, оказывающими </w:t>
            </w:r>
            <w:r>
              <w:rPr>
                <w:sz w:val="20"/>
                <w:szCs w:val="20"/>
              </w:rPr>
              <w:lastRenderedPageBreak/>
              <w:t>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0"/>
                <w:szCs w:val="20"/>
              </w:rPr>
              <w:t xml:space="preserve">пользовании услугами; </w:t>
            </w:r>
            <w:r>
              <w:rPr>
                <w:sz w:val="20"/>
                <w:szCs w:val="20"/>
              </w:rPr>
              <w:lastRenderedPageBreak/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</w:t>
            </w:r>
            <w:r>
              <w:rPr>
                <w:sz w:val="20"/>
                <w:szCs w:val="20"/>
              </w:rPr>
              <w:t xml:space="preserve">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>
              <w:rPr>
                <w:sz w:val="20"/>
                <w:szCs w:val="20"/>
              </w:rPr>
              <w:lastRenderedPageBreak/>
              <w:t>шрифтом Брайля, ознакомление с их помощью с надп</w:t>
            </w:r>
            <w:r>
              <w:rPr>
                <w:sz w:val="20"/>
                <w:szCs w:val="20"/>
              </w:rPr>
              <w:t>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</w:t>
            </w:r>
            <w:r>
              <w:rPr>
                <w:sz w:val="20"/>
                <w:szCs w:val="20"/>
              </w:rPr>
              <w:t>о жестового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Допустимые (возможные) отклонения от уста</w:t>
            </w:r>
            <w:r>
              <w:t>новленных показателей качества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3.2. Показатели, характеризующие </w:t>
            </w:r>
            <w:r>
              <w:t>объем государственной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размер платы </w:t>
            </w:r>
            <w:r>
              <w:rPr>
                <w:sz w:val="20"/>
                <w:szCs w:val="20"/>
              </w:rPr>
              <w:t>(цена, тариф)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</w:t>
            </w:r>
            <w:r>
              <w:rPr>
                <w:sz w:val="20"/>
                <w:szCs w:val="20"/>
              </w:rPr>
              <w:t>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</w:t>
            </w:r>
            <w:r>
              <w:rPr>
                <w:sz w:val="20"/>
                <w:szCs w:val="20"/>
              </w:rPr>
              <w:t xml:space="preserve">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</w:t>
            </w:r>
            <w:r>
              <w:rPr>
                <w:sz w:val="20"/>
                <w:szCs w:val="20"/>
              </w:rPr>
              <w:t xml:space="preserve">вание, самостоятельно передвигаться, обеспечивать </w:t>
            </w:r>
            <w:r>
              <w:rPr>
                <w:sz w:val="20"/>
                <w:szCs w:val="20"/>
              </w:rPr>
              <w:lastRenderedPageBreak/>
              <w:t>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lastRenderedPageBreak/>
              <w:t>Допустимые (возможные) отклонения от уста</w:t>
            </w:r>
            <w:r>
              <w:t>новленных показателей объема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7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4. Нормативные правовые акты, уст</w:t>
            </w:r>
            <w:r>
              <w:t>анавливающие предельный размер платы (цену и тариф) либо порядок ее (его) установления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труда и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  Порядок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Закон ""Об основах социального обслуживания граждан в Российской Федерации"" № 442-ФЗ от  28.12.2013; Постановление ""Об утверждении пор</w:t>
            </w:r>
            <w:r>
              <w:t>ядков предоставления социальных поставщиками социальных услуг поставщиками социальных услуг в Ставропольском крае" № 560-п от  29.12.2014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5.2. Порядок информирования потенциальн</w:t>
            </w:r>
            <w:r>
              <w:t>ых потребителей государственной услуги: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</w:t>
            </w:r>
            <w:r>
              <w:rPr>
                <w:sz w:val="20"/>
                <w:szCs w:val="20"/>
              </w:rPr>
              <w:t>емой информации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 учреждения, информация об учредителе (учредителях), место </w:t>
            </w:r>
            <w:r>
              <w:rPr>
                <w:sz w:val="20"/>
                <w:szCs w:val="20"/>
              </w:rPr>
              <w:lastRenderedPageBreak/>
              <w:t xml:space="preserve">нахождения учреждения и его филиалов (при их наличии), режим (график) работы, </w:t>
            </w:r>
            <w:r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</w:t>
            </w:r>
            <w:r>
              <w:rPr>
                <w:sz w:val="20"/>
                <w:szCs w:val="20"/>
              </w:rPr>
              <w:t>ых мест для приема получателей социальных услуг по формам социального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</w:t>
            </w:r>
            <w:r>
              <w:rPr>
                <w:sz w:val="20"/>
                <w:szCs w:val="20"/>
              </w:rPr>
              <w:t>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</w:t>
            </w:r>
            <w:r>
              <w:rPr>
                <w:sz w:val="20"/>
                <w:szCs w:val="20"/>
              </w:rPr>
              <w:t>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наличии предписаний органов, осуществляющих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исполнении указанных предписаний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</w:t>
            </w:r>
            <w:r>
              <w:rPr>
                <w:sz w:val="20"/>
                <w:szCs w:val="20"/>
              </w:rPr>
              <w:t>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проведении независимой оценки качества оказания услуг учреждением; результаты и позиции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</w:t>
            </w:r>
            <w:r>
              <w:rPr>
                <w:sz w:val="20"/>
                <w:szCs w:val="20"/>
              </w:rPr>
              <w:t>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руководителе учреждения, его </w:t>
            </w:r>
            <w:r>
              <w:rPr>
                <w:sz w:val="20"/>
                <w:szCs w:val="20"/>
              </w:rPr>
              <w:lastRenderedPageBreak/>
              <w:t>заместителях, руководителях филиалов (при их наличии)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</w:t>
            </w:r>
            <w:r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</w:t>
            </w:r>
            <w:r>
              <w:rPr>
                <w:sz w:val="20"/>
                <w:szCs w:val="20"/>
              </w:rPr>
              <w:t>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социальной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получателей социальных услуг </w:t>
            </w:r>
            <w:r>
              <w:rPr>
                <w:sz w:val="20"/>
                <w:szCs w:val="20"/>
              </w:rPr>
              <w:t>(категории граждан)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</w:t>
            </w:r>
            <w:r>
              <w:rPr>
                <w:sz w:val="20"/>
                <w:szCs w:val="20"/>
              </w:rPr>
              <w:t>дка для получателей социальных услуг, правила внутреннего трудового распорядка и коллективный договор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</w:t>
            </w:r>
            <w:r>
              <w:rPr>
                <w:sz w:val="20"/>
                <w:szCs w:val="20"/>
              </w:rPr>
              <w:t xml:space="preserve">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социального обслуживания, перечень социальных услуг, порядки и условия их предоставления, </w:t>
            </w:r>
            <w:r>
              <w:rPr>
                <w:sz w:val="20"/>
                <w:szCs w:val="20"/>
              </w:rPr>
              <w:lastRenderedPageBreak/>
              <w:t>тарифы на социальные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исленность получателей социальных услуг по формам социального обслуживания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ви-дам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Ставропольского края и в соответствии с договорами за счет средств физических лиц и (или)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</w:t>
            </w:r>
            <w:r>
              <w:rPr>
                <w:sz w:val="20"/>
                <w:szCs w:val="20"/>
              </w:rPr>
              <w:t>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FA4259">
            <w:pPr>
              <w:jc w:val="center"/>
            </w:pPr>
            <w:r>
              <w:br w:type="page"/>
            </w:r>
            <w:proofErr w:type="spellStart"/>
            <w:r>
              <w:t>асть</w:t>
            </w:r>
            <w:proofErr w:type="spellEnd"/>
            <w:r>
              <w:t xml:space="preserve"> 1. Сведения об оказываемых госуда</w:t>
            </w:r>
            <w:r>
              <w:t>рственных услугах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Раздел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1. Наименование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220430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Предоставление социального обслуживания в форме на дому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базовому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2. Категории потребителей государственной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самообслуживание, самостоятельно </w:t>
            </w:r>
            <w:r>
              <w:t>передвигаться, обеспечивать основные жизненные потребности в силу заболевания, травмы, возраста или наличия инвалидности, Гражданин частично утративший способность либо возможности осуществлять самообслуживание, самостоятельно передвигаться, обеспечивать о</w:t>
            </w:r>
            <w:r>
              <w:t>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 Показатели, характеризующие объем и </w:t>
            </w:r>
            <w:r>
              <w:t>(или) качество государственной услуги: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3.1. Показатели, характеризующие качество государственной услуги: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аписи</w:t>
            </w:r>
          </w:p>
        </w:tc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</w:t>
            </w:r>
            <w:r>
              <w:rPr>
                <w:sz w:val="20"/>
                <w:szCs w:val="20"/>
              </w:rPr>
              <w:t xml:space="preserve">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</w:t>
            </w:r>
            <w:r>
              <w:rPr>
                <w:sz w:val="20"/>
                <w:szCs w:val="20"/>
              </w:rPr>
              <w:t>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</w:t>
            </w:r>
            <w:r>
              <w:rPr>
                <w:sz w:val="20"/>
                <w:szCs w:val="20"/>
              </w:rPr>
              <w:lastRenderedPageBreak/>
              <w:t>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</w:t>
            </w:r>
            <w:r>
              <w:rPr>
                <w:sz w:val="20"/>
                <w:szCs w:val="20"/>
              </w:rPr>
              <w:t>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>
              <w:rPr>
                <w:sz w:val="20"/>
                <w:szCs w:val="20"/>
              </w:rPr>
              <w:lastRenderedPageBreak/>
              <w:t>возраста или наличия инвалидности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</w:t>
            </w:r>
            <w:r>
              <w:rPr>
                <w:sz w:val="20"/>
                <w:szCs w:val="20"/>
              </w:rPr>
              <w:t xml:space="preserve">законодательства в отчетном году, выявленных при проведении </w:t>
            </w:r>
            <w:r>
              <w:rPr>
                <w:sz w:val="20"/>
                <w:szCs w:val="20"/>
              </w:rPr>
              <w:lastRenderedPageBreak/>
              <w:t>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070000000120000160322043001001100001007100101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социального обслуживан</w:t>
            </w:r>
            <w:r>
              <w:rPr>
                <w:sz w:val="20"/>
                <w:szCs w:val="20"/>
              </w:rPr>
              <w:lastRenderedPageBreak/>
              <w:t xml:space="preserve">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</w:t>
            </w:r>
            <w:r>
              <w:rPr>
                <w:sz w:val="20"/>
                <w:szCs w:val="20"/>
              </w:rPr>
              <w:lastRenderedPageBreak/>
              <w:t xml:space="preserve">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</w:t>
            </w:r>
            <w:r>
              <w:rPr>
                <w:sz w:val="20"/>
                <w:szCs w:val="20"/>
              </w:rPr>
              <w:t>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</w:t>
            </w:r>
            <w:r>
              <w:rPr>
                <w:sz w:val="20"/>
                <w:szCs w:val="20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</w:t>
            </w:r>
            <w:r>
              <w:rPr>
                <w:sz w:val="20"/>
                <w:szCs w:val="20"/>
              </w:rPr>
              <w:t>дности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социальных услуг, получающих </w:t>
            </w:r>
            <w:r>
              <w:rPr>
                <w:sz w:val="20"/>
                <w:szCs w:val="20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>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</w:t>
            </w:r>
            <w:r>
              <w:rPr>
                <w:sz w:val="20"/>
                <w:szCs w:val="20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Допустимые (возможные) отклонения от уста</w:t>
            </w:r>
            <w:r>
              <w:t>новленных показателей качества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3.2. Показатели, характеризующие </w:t>
            </w:r>
            <w:r>
              <w:t>объем государственной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оказатель, характеризующий содержание государственной услуги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</w:t>
            </w:r>
            <w:r>
              <w:rPr>
                <w:sz w:val="20"/>
                <w:szCs w:val="20"/>
              </w:rPr>
              <w:t>цена, тариф)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070000000120000160322043001001000001009100101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</w:t>
            </w:r>
            <w:r>
              <w:rPr>
                <w:sz w:val="20"/>
                <w:szCs w:val="20"/>
              </w:rPr>
              <w:lastRenderedPageBreak/>
              <w:t xml:space="preserve">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</w:t>
            </w:r>
            <w:r>
              <w:rPr>
                <w:sz w:val="20"/>
                <w:szCs w:val="20"/>
              </w:rPr>
              <w:t>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</w:t>
            </w:r>
            <w:r>
              <w:rPr>
                <w:sz w:val="20"/>
                <w:szCs w:val="20"/>
              </w:rPr>
              <w:t>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</w:t>
            </w:r>
            <w:r>
              <w:rPr>
                <w:sz w:val="20"/>
                <w:szCs w:val="20"/>
              </w:rPr>
              <w:t>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</w:t>
            </w:r>
            <w:r>
              <w:rPr>
                <w:sz w:val="20"/>
                <w:szCs w:val="20"/>
              </w:rPr>
              <w:t>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>
              <w:rPr>
                <w:sz w:val="20"/>
                <w:szCs w:val="20"/>
              </w:rPr>
              <w:lastRenderedPageBreak/>
              <w:t>жизненные потребности в силу заболевания, травмы, возраста или налич</w:t>
            </w:r>
            <w:r>
              <w:rPr>
                <w:sz w:val="20"/>
                <w:szCs w:val="20"/>
              </w:rPr>
              <w:t>ия инвалидности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3 747,42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lastRenderedPageBreak/>
              <w:t>Допустимые (возможные) отклонения от уста</w:t>
            </w:r>
            <w:r>
              <w:t>новленных показателей объема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7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4. Нормативные правовые акты, уст</w:t>
            </w:r>
            <w:r>
              <w:t>анавливающие предельный размер платы (цену и тариф) либо порядок ее (его) установления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труда и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  Порядок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Закон ""Об основах социального обслуживания граждан в Российской Федерации"" № 442-ФЗ от  28.12.2013; Постановление ""Об утверждении пор</w:t>
            </w:r>
            <w:r>
              <w:t>ядков предоставления социальных поставщиками социальных услуг поставщиками социальных услуг в Ставропольском крае" № 560-п от  29.12.2014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5.2. Порядок информирования потенциальн</w:t>
            </w:r>
            <w:r>
              <w:t>ых потребителей государственной услуги: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</w:t>
            </w:r>
            <w:r>
              <w:rPr>
                <w:sz w:val="20"/>
                <w:szCs w:val="20"/>
              </w:rPr>
              <w:t>емой информации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 учреждения, информация об учредителе (учредителях), место </w:t>
            </w:r>
            <w:r>
              <w:rPr>
                <w:sz w:val="20"/>
                <w:szCs w:val="20"/>
              </w:rPr>
              <w:lastRenderedPageBreak/>
              <w:t xml:space="preserve">нахождения учреждения и его филиалов (при их наличии), режим (график) работы, </w:t>
            </w:r>
            <w:r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</w:t>
            </w:r>
            <w:r>
              <w:rPr>
                <w:sz w:val="20"/>
                <w:szCs w:val="20"/>
              </w:rPr>
              <w:t>ых мест для приема получателей социальных услуг по формам социального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</w:t>
            </w:r>
            <w:r>
              <w:rPr>
                <w:sz w:val="20"/>
                <w:szCs w:val="20"/>
              </w:rPr>
              <w:t>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</w:t>
            </w:r>
            <w:r>
              <w:rPr>
                <w:sz w:val="20"/>
                <w:szCs w:val="20"/>
              </w:rPr>
              <w:t>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наличии предписаний органов, осуществляющих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исполнении указанных предписаний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</w:t>
            </w:r>
            <w:r>
              <w:rPr>
                <w:sz w:val="20"/>
                <w:szCs w:val="20"/>
              </w:rPr>
              <w:t>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проведении независимой оценки качества оказания услуг учреждением; результаты и позиции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</w:t>
            </w:r>
            <w:r>
              <w:rPr>
                <w:sz w:val="20"/>
                <w:szCs w:val="20"/>
              </w:rPr>
              <w:t>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руководителе учреждения, его </w:t>
            </w:r>
            <w:r>
              <w:rPr>
                <w:sz w:val="20"/>
                <w:szCs w:val="20"/>
              </w:rPr>
              <w:lastRenderedPageBreak/>
              <w:t>заместителях, руководителях филиалов (при их наличии)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</w:t>
            </w:r>
            <w:r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</w:t>
            </w:r>
            <w:r>
              <w:rPr>
                <w:sz w:val="20"/>
                <w:szCs w:val="20"/>
              </w:rPr>
              <w:t>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социальной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получателей социальных услуг </w:t>
            </w:r>
            <w:r>
              <w:rPr>
                <w:sz w:val="20"/>
                <w:szCs w:val="20"/>
              </w:rPr>
              <w:t>(категории граждан)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</w:t>
            </w:r>
            <w:r>
              <w:rPr>
                <w:sz w:val="20"/>
                <w:szCs w:val="20"/>
              </w:rPr>
              <w:t>дка для получателей социальных услуг, правила внутреннего трудового распорядка и коллективный договор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</w:t>
            </w:r>
            <w:r>
              <w:rPr>
                <w:sz w:val="20"/>
                <w:szCs w:val="20"/>
              </w:rPr>
              <w:t xml:space="preserve">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социального обслуживания, перечень социальных услуг, порядки и условия их предоставления, </w:t>
            </w:r>
            <w:r>
              <w:rPr>
                <w:sz w:val="20"/>
                <w:szCs w:val="20"/>
              </w:rPr>
              <w:lastRenderedPageBreak/>
              <w:t>тарифы на социальные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исленность получателей социальных услуг по формам социального обслуживания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ви-дам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Ставропольского края и в соответствии с договорами за счет средств физических лиц и (или)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</w:t>
            </w:r>
            <w:r>
              <w:rPr>
                <w:sz w:val="20"/>
                <w:szCs w:val="20"/>
              </w:rPr>
              <w:t>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br w:type="page"/>
              <w:t>Часть 1. Сведения об оказываемых госуд</w:t>
            </w:r>
            <w:r>
              <w:t>арственных услугах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Раздел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1. Наименование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220460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базовому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2. Категории потребителей государственной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>Гражданин при наличии в семье инвалида или инвалидов, в том числе ребенка-инвалида или детей-инвалидов, ну</w:t>
            </w:r>
            <w:r>
              <w:t>ждающихся в постоянном постороннем уходе,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при наличии ребенка</w:t>
            </w:r>
            <w:r>
              <w:t xml:space="preserve"> или детей (в том числе находящихся под опекой, попечительством), испытывающих трудности в социальной адаптации, Гражданин при отсутствии</w:t>
            </w:r>
            <w:proofErr w:type="gramEnd"/>
            <w:r>
              <w:t xml:space="preserve"> работы и средств к существованию, </w:t>
            </w:r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 Показатели, характеризующие объем и </w:t>
            </w:r>
            <w:r>
              <w:t>(или) качество государственной услуги: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3.1. Показатели, характеризующие качество государственной услуги: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аписи</w:t>
            </w:r>
          </w:p>
        </w:tc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государственной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sz w:val="20"/>
                <w:szCs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государственной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</w:t>
            </w:r>
            <w:r>
              <w:rPr>
                <w:sz w:val="20"/>
                <w:szCs w:val="20"/>
              </w:rPr>
              <w:t xml:space="preserve">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  <w:r>
              <w:rPr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</w:t>
            </w:r>
            <w:r>
              <w:rPr>
                <w:sz w:val="20"/>
                <w:szCs w:val="20"/>
              </w:rPr>
              <w:t>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</w:t>
            </w:r>
            <w:r>
              <w:rPr>
                <w:sz w:val="20"/>
                <w:szCs w:val="20"/>
              </w:rPr>
              <w:t>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>
              <w:rPr>
                <w:sz w:val="20"/>
                <w:szCs w:val="20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</w:t>
            </w:r>
            <w:r>
              <w:rPr>
                <w:sz w:val="20"/>
                <w:szCs w:val="20"/>
              </w:rPr>
              <w:t>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законодательства </w:t>
            </w:r>
            <w:r>
              <w:rPr>
                <w:sz w:val="20"/>
                <w:szCs w:val="20"/>
              </w:rPr>
              <w:t xml:space="preserve">в отчетном году, </w:t>
            </w:r>
            <w:r>
              <w:rPr>
                <w:sz w:val="20"/>
                <w:szCs w:val="20"/>
              </w:rPr>
              <w:lastRenderedPageBreak/>
              <w:t>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социальных услуг </w:t>
            </w:r>
            <w:r>
              <w:rPr>
                <w:sz w:val="20"/>
                <w:szCs w:val="20"/>
              </w:rPr>
              <w:lastRenderedPageBreak/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0"/>
                <w:szCs w:val="20"/>
              </w:rPr>
              <w:t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</w:t>
            </w:r>
            <w:r>
              <w:rPr>
                <w:sz w:val="20"/>
                <w:szCs w:val="20"/>
              </w:rPr>
              <w:t xml:space="preserve"> также доступное размещение оборудования и носителей </w:t>
            </w:r>
            <w:r>
              <w:rPr>
                <w:sz w:val="20"/>
                <w:szCs w:val="20"/>
              </w:rPr>
              <w:lastRenderedPageBreak/>
              <w:t>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</w:t>
            </w:r>
            <w:r>
              <w:rPr>
                <w:sz w:val="20"/>
                <w:szCs w:val="20"/>
              </w:rPr>
              <w:t xml:space="preserve">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</w:t>
            </w:r>
            <w:r>
              <w:rPr>
                <w:sz w:val="20"/>
                <w:szCs w:val="20"/>
              </w:rPr>
              <w:lastRenderedPageBreak/>
              <w:t>услугах с использованием русског</w:t>
            </w:r>
            <w:r>
              <w:rPr>
                <w:sz w:val="20"/>
                <w:szCs w:val="20"/>
              </w:rPr>
              <w:t>о жестового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070000000120000160322046001001400001008100102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</w:t>
            </w:r>
            <w:r>
              <w:rPr>
                <w:sz w:val="20"/>
                <w:szCs w:val="20"/>
              </w:rPr>
              <w:t xml:space="preserve">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</w:t>
            </w:r>
            <w:r>
              <w:rPr>
                <w:sz w:val="20"/>
                <w:szCs w:val="20"/>
              </w:rPr>
              <w:t xml:space="preserve">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</w:t>
            </w:r>
            <w:r>
              <w:rPr>
                <w:sz w:val="20"/>
                <w:szCs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</w:t>
            </w:r>
            <w:r>
              <w:rPr>
                <w:sz w:val="20"/>
                <w:szCs w:val="20"/>
              </w:rPr>
              <w:t>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>
              <w:rPr>
                <w:sz w:val="20"/>
                <w:szCs w:val="20"/>
              </w:rPr>
              <w:lastRenderedPageBreak/>
              <w:t>социальных услуг при передвижении по территории учреждения социального обслуживания, а также при пользовании услугами; возмо</w:t>
            </w:r>
            <w:r>
              <w:rPr>
                <w:sz w:val="20"/>
                <w:szCs w:val="20"/>
              </w:rPr>
              <w:t>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</w:t>
            </w:r>
            <w:r>
              <w:rPr>
                <w:sz w:val="20"/>
                <w:szCs w:val="20"/>
              </w:rPr>
              <w:t xml:space="preserve">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дублирование текстовых сообщений </w:t>
            </w:r>
            <w:r>
              <w:rPr>
                <w:sz w:val="20"/>
                <w:szCs w:val="20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>
              <w:rPr>
                <w:sz w:val="20"/>
                <w:szCs w:val="20"/>
              </w:rPr>
              <w:t xml:space="preserve">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сурдопер</w:t>
            </w:r>
            <w:r>
              <w:rPr>
                <w:sz w:val="20"/>
                <w:szCs w:val="20"/>
              </w:rPr>
              <w:t>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070000000120000160322046001001500001005100102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</w:t>
            </w:r>
            <w:r>
              <w:rPr>
                <w:sz w:val="20"/>
                <w:szCs w:val="20"/>
              </w:rPr>
              <w:t xml:space="preserve">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</w:t>
            </w:r>
            <w:r>
              <w:rPr>
                <w:sz w:val="20"/>
                <w:szCs w:val="20"/>
              </w:rPr>
              <w:lastRenderedPageBreak/>
              <w:t xml:space="preserve">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</w:t>
            </w:r>
            <w:r>
              <w:rPr>
                <w:sz w:val="20"/>
                <w:szCs w:val="20"/>
              </w:rPr>
              <w:t>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социальных услуг, </w:t>
            </w:r>
            <w:r>
              <w:rPr>
                <w:sz w:val="20"/>
                <w:szCs w:val="20"/>
              </w:rPr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</w:t>
            </w:r>
            <w:r>
              <w:rPr>
                <w:sz w:val="20"/>
                <w:szCs w:val="20"/>
              </w:rPr>
              <w:t>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социальных услуг в оказанных социальных </w:t>
            </w:r>
            <w:r>
              <w:rPr>
                <w:sz w:val="20"/>
                <w:szCs w:val="20"/>
              </w:rPr>
              <w:lastRenderedPageBreak/>
              <w:t>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  <w:r>
              <w:rPr>
                <w:sz w:val="20"/>
                <w:szCs w:val="20"/>
              </w:rPr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социальных услуг в </w:t>
            </w:r>
            <w:r>
              <w:rPr>
                <w:sz w:val="20"/>
                <w:szCs w:val="20"/>
              </w:rPr>
              <w:t xml:space="preserve">организации (возможность сопровождения получателя социальных услуг при передвижении по территории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обслуживания, а также при пользовании услугами; возможность для самостоятельного передвижения по территории учреждения социального обсл</w:t>
            </w:r>
            <w:r>
              <w:rPr>
                <w:sz w:val="20"/>
                <w:szCs w:val="20"/>
              </w:rPr>
              <w:t>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дублирование текстовых сообщений голосовыми </w:t>
            </w:r>
            <w:r>
              <w:rPr>
                <w:sz w:val="20"/>
                <w:szCs w:val="20"/>
              </w:rPr>
              <w:t xml:space="preserve">сообщениями, оснащение учреждения социального </w:t>
            </w:r>
            <w:r>
              <w:rPr>
                <w:sz w:val="20"/>
                <w:szCs w:val="20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</w:t>
            </w:r>
            <w:r>
              <w:rPr>
                <w:sz w:val="20"/>
                <w:szCs w:val="20"/>
              </w:rPr>
              <w:t>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</w:t>
            </w:r>
            <w:r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</w:t>
            </w:r>
            <w:r>
              <w:rPr>
                <w:sz w:val="20"/>
                <w:szCs w:val="20"/>
              </w:rPr>
              <w:lastRenderedPageBreak/>
              <w:t xml:space="preserve">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</w:t>
            </w:r>
            <w:r>
              <w:rPr>
                <w:sz w:val="20"/>
                <w:szCs w:val="20"/>
              </w:rPr>
              <w:t>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отсутствии работы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уществованию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</w:t>
            </w:r>
            <w:r>
              <w:rPr>
                <w:sz w:val="20"/>
                <w:szCs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0"/>
                <w:szCs w:val="20"/>
              </w:rPr>
              <w:lastRenderedPageBreak/>
              <w:t>поль</w:t>
            </w:r>
            <w:r>
              <w:rPr>
                <w:sz w:val="20"/>
                <w:szCs w:val="20"/>
              </w:rPr>
              <w:t>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</w:t>
            </w:r>
            <w:r>
              <w:rPr>
                <w:sz w:val="20"/>
                <w:szCs w:val="20"/>
              </w:rPr>
              <w:t>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</w:r>
            <w:r>
              <w:rPr>
                <w:sz w:val="20"/>
                <w:szCs w:val="20"/>
              </w:rPr>
              <w:lastRenderedPageBreak/>
              <w:t>рельефно-точечным шрифтом Брайля, ознакомление с их помощью с надписям</w:t>
            </w:r>
            <w:r>
              <w:rPr>
                <w:sz w:val="20"/>
                <w:szCs w:val="20"/>
              </w:rPr>
              <w:t>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 xml:space="preserve">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r>
              <w:rPr>
                <w:sz w:val="20"/>
                <w:szCs w:val="20"/>
              </w:rPr>
              <w:t>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</w:t>
            </w:r>
            <w:r>
              <w:rPr>
                <w:sz w:val="20"/>
                <w:szCs w:val="20"/>
              </w:rPr>
              <w:lastRenderedPageBreak/>
              <w:t xml:space="preserve">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</w:t>
            </w:r>
            <w:r>
              <w:rPr>
                <w:sz w:val="20"/>
                <w:szCs w:val="20"/>
              </w:rPr>
              <w:t xml:space="preserve">н при </w:t>
            </w:r>
            <w:r>
              <w:rPr>
                <w:sz w:val="20"/>
                <w:szCs w:val="20"/>
              </w:rPr>
              <w:lastRenderedPageBreak/>
              <w:t>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</w:t>
            </w:r>
            <w:r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</w:t>
            </w:r>
            <w:r>
              <w:rPr>
                <w:sz w:val="20"/>
                <w:szCs w:val="20"/>
              </w:rPr>
              <w:t>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</w:t>
            </w:r>
            <w:r>
              <w:rPr>
                <w:sz w:val="20"/>
                <w:szCs w:val="20"/>
              </w:rPr>
              <w:t xml:space="preserve">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</w:t>
            </w:r>
            <w:r>
              <w:rPr>
                <w:sz w:val="20"/>
                <w:szCs w:val="20"/>
              </w:rPr>
              <w:t xml:space="preserve">специалистами, оказывающими социальные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</w:t>
            </w:r>
            <w:r>
              <w:rPr>
                <w:sz w:val="20"/>
                <w:szCs w:val="20"/>
              </w:rPr>
              <w:t>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</w:t>
            </w:r>
            <w:r>
              <w:rPr>
                <w:sz w:val="20"/>
                <w:szCs w:val="20"/>
              </w:rPr>
              <w:t xml:space="preserve">редвижении по территории учреждения социального обслуживания, а также при пользовании услугами; возможность для </w:t>
            </w:r>
            <w:r>
              <w:rPr>
                <w:sz w:val="20"/>
                <w:szCs w:val="20"/>
              </w:rPr>
              <w:lastRenderedPageBreak/>
              <w:t>самостоятельного передвижения по территории учреждения социального обслуживания, входа, выхода и перемещения внутри такой организации (в том чис</w:t>
            </w:r>
            <w:r>
              <w:rPr>
                <w:sz w:val="20"/>
                <w:szCs w:val="20"/>
              </w:rPr>
              <w:t>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</w:t>
            </w:r>
            <w:r>
              <w:rPr>
                <w:sz w:val="20"/>
                <w:szCs w:val="20"/>
              </w:rPr>
              <w:t xml:space="preserve">ненными рельефно-точечным шрифтом Брайля, </w:t>
            </w:r>
            <w:r>
              <w:rPr>
                <w:sz w:val="20"/>
                <w:szCs w:val="20"/>
              </w:rPr>
              <w:lastRenderedPageBreak/>
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</w:t>
            </w:r>
            <w:r>
              <w:rPr>
                <w:sz w:val="20"/>
                <w:szCs w:val="20"/>
              </w:rPr>
              <w:t>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 xml:space="preserve">Допустимые (возможные) отклонения </w:t>
            </w:r>
            <w:r>
              <w:t>от установленных показателей качества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lastRenderedPageBreak/>
              <w:t xml:space="preserve">3.2. Показатели, характеризующие </w:t>
            </w:r>
            <w:r>
              <w:t>объем государственной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Среднегодовой размер платы </w:t>
            </w:r>
            <w:r>
              <w:rPr>
                <w:sz w:val="20"/>
                <w:szCs w:val="20"/>
              </w:rPr>
              <w:t>(цена, тариф)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услуг 2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</w:t>
            </w:r>
            <w:r>
              <w:rPr>
                <w:sz w:val="20"/>
                <w:szCs w:val="20"/>
              </w:rPr>
              <w:t>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</w:t>
            </w:r>
            <w:r>
              <w:rPr>
                <w:sz w:val="20"/>
                <w:szCs w:val="20"/>
              </w:rPr>
              <w:lastRenderedPageBreak/>
              <w:t>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</w:t>
            </w:r>
            <w:r>
              <w:rPr>
                <w:sz w:val="20"/>
                <w:szCs w:val="20"/>
              </w:rPr>
              <w:t xml:space="preserve">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</w:t>
            </w:r>
            <w:r>
              <w:rPr>
                <w:sz w:val="20"/>
                <w:szCs w:val="20"/>
              </w:rPr>
              <w:t xml:space="preserve">вание, самостоятельно передвигаться, обеспечивать основные жизненные </w:t>
            </w:r>
            <w:r>
              <w:rPr>
                <w:sz w:val="20"/>
                <w:szCs w:val="20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070000000120000160322046001001400001008100</w:t>
            </w: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 xml:space="preserve">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</w:t>
            </w:r>
            <w:r>
              <w:rPr>
                <w:sz w:val="20"/>
                <w:szCs w:val="20"/>
              </w:rPr>
              <w:t>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</w:t>
            </w:r>
            <w:r>
              <w:rPr>
                <w:sz w:val="20"/>
                <w:szCs w:val="20"/>
              </w:rPr>
              <w:lastRenderedPageBreak/>
              <w:t xml:space="preserve">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</w:t>
            </w:r>
            <w:r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Гражданин при </w:t>
            </w:r>
            <w:r>
              <w:rPr>
                <w:sz w:val="20"/>
                <w:szCs w:val="20"/>
              </w:rPr>
              <w:lastRenderedPageBreak/>
              <w:t>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</w:t>
            </w:r>
            <w:r>
              <w:rPr>
                <w:sz w:val="20"/>
                <w:szCs w:val="20"/>
              </w:rPr>
              <w:lastRenderedPageBreak/>
              <w:t>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070000000120000160322046001001500001005100102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</w:t>
            </w:r>
            <w:r>
              <w:rPr>
                <w:sz w:val="20"/>
                <w:szCs w:val="20"/>
              </w:rPr>
              <w:t>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</w:t>
            </w:r>
            <w:r>
              <w:rPr>
                <w:sz w:val="20"/>
                <w:szCs w:val="20"/>
              </w:rPr>
              <w:t>м числе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</w:t>
            </w:r>
            <w:r>
              <w:rPr>
                <w:sz w:val="20"/>
                <w:szCs w:val="20"/>
              </w:rPr>
              <w:lastRenderedPageBreak/>
              <w:t xml:space="preserve">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</w:t>
            </w:r>
            <w:r>
              <w:rPr>
                <w:sz w:val="20"/>
                <w:szCs w:val="20"/>
              </w:rPr>
              <w:lastRenderedPageBreak/>
              <w:t xml:space="preserve">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</w:t>
            </w:r>
            <w:r>
              <w:rPr>
                <w:sz w:val="20"/>
                <w:szCs w:val="20"/>
              </w:rPr>
              <w:t>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Гражданин при отсутствии работы и </w:t>
            </w:r>
            <w:r>
              <w:rPr>
                <w:sz w:val="20"/>
                <w:szCs w:val="20"/>
              </w:rPr>
              <w:lastRenderedPageBreak/>
              <w:t>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уществованию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получивших </w:t>
            </w:r>
            <w:r>
              <w:rPr>
                <w:sz w:val="20"/>
                <w:szCs w:val="20"/>
              </w:rPr>
              <w:lastRenderedPageBreak/>
              <w:t>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</w:t>
            </w:r>
            <w:r>
              <w:rPr>
                <w:sz w:val="20"/>
                <w:szCs w:val="20"/>
              </w:rPr>
              <w:t>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</w:t>
            </w:r>
            <w:r>
              <w:rPr>
                <w:sz w:val="20"/>
                <w:szCs w:val="20"/>
              </w:rPr>
              <w:lastRenderedPageBreak/>
              <w:t>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</w:t>
            </w:r>
            <w:r>
              <w:rPr>
                <w:sz w:val="20"/>
                <w:szCs w:val="20"/>
              </w:rPr>
              <w:t>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</w:t>
            </w:r>
            <w:r>
              <w:rPr>
                <w:sz w:val="20"/>
                <w:szCs w:val="20"/>
              </w:rPr>
              <w:t>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Допустимые (возможные) отклонения от уста</w:t>
            </w:r>
            <w:r>
              <w:t>новленных показателей объема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7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lastRenderedPageBreak/>
              <w:t>4. Нормативные правовые акты, уст</w:t>
            </w:r>
            <w:r>
              <w:t>анавливающие предельный размер платы (цену и тариф) либо порядок ее (его) установления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труда и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  Порядок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>Закон ""Об основах социального обслуживания граждан в Российской Федерации"" № 442-ФЗ от  28.12.2013; Постановление ""Об утверждении пер</w:t>
            </w:r>
            <w:r>
              <w:t>ечня иных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обслуживании"" № 67-п от  24.02.2015; Постановление ""Об утверждении по</w:t>
            </w:r>
            <w:r>
              <w:t>рядков предоставления социальных поставщиками социальных услуг поставщиками социальных услуг в Ставропольском крае" № 560-п от  29.12.2014</w:t>
            </w:r>
            <w:proofErr w:type="gramEnd"/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5.2. Порядок информирования потенциальн</w:t>
            </w:r>
            <w:r>
              <w:t>ых потребителей государственной услуги: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</w:t>
            </w:r>
            <w:r>
              <w:rPr>
                <w:sz w:val="20"/>
                <w:szCs w:val="20"/>
              </w:rPr>
              <w:t>емой информации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 учреждения, информация об учредителе (учредителях), место нахождения учреждения и его филиалов (при их наличии), режим (график) работы, </w:t>
            </w:r>
            <w:r>
              <w:rPr>
                <w:sz w:val="20"/>
                <w:szCs w:val="20"/>
              </w:rPr>
              <w:t xml:space="preserve">контактные телефоны, </w:t>
            </w:r>
            <w:r>
              <w:rPr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</w:t>
            </w:r>
            <w:r>
              <w:rPr>
                <w:sz w:val="20"/>
                <w:szCs w:val="20"/>
              </w:rPr>
              <w:t>ых мест для приема получателей социальных услуг по формам социального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</w:t>
            </w:r>
            <w:r>
              <w:rPr>
                <w:sz w:val="20"/>
                <w:szCs w:val="20"/>
              </w:rPr>
              <w:t>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</w:t>
            </w:r>
            <w:r>
              <w:rPr>
                <w:sz w:val="20"/>
                <w:szCs w:val="20"/>
              </w:rPr>
              <w:t>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наличии предписаний органов, осуществляющих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исполнении указанных предписаний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</w:t>
            </w:r>
            <w:r>
              <w:rPr>
                <w:sz w:val="20"/>
                <w:szCs w:val="20"/>
              </w:rPr>
              <w:t>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проведении независимой оценки качества оказания услуг учреждением; результаты и позиции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</w:t>
            </w:r>
            <w:r>
              <w:rPr>
                <w:sz w:val="20"/>
                <w:szCs w:val="20"/>
              </w:rPr>
              <w:t>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учреждения, его заместителях, руководителях филиалов (при их наличии)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</w:t>
            </w:r>
            <w:r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</w:t>
            </w:r>
            <w:r>
              <w:rPr>
                <w:sz w:val="20"/>
                <w:szCs w:val="20"/>
              </w:rPr>
              <w:t>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социальной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получателей социальных услуг </w:t>
            </w:r>
            <w:r>
              <w:rPr>
                <w:sz w:val="20"/>
                <w:szCs w:val="20"/>
              </w:rPr>
              <w:t>(категории граждан)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</w:t>
            </w:r>
            <w:r>
              <w:rPr>
                <w:sz w:val="20"/>
                <w:szCs w:val="20"/>
              </w:rPr>
              <w:t>дка для получателей социальных услуг, правила внутреннего трудового распорядка и коллективный договор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</w:t>
            </w:r>
            <w:r>
              <w:rPr>
                <w:sz w:val="20"/>
                <w:szCs w:val="20"/>
              </w:rPr>
              <w:t xml:space="preserve">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обслуживания, перечень социальных услуг, порядки и условия их предоставления, тарифы на социальные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исленность получателей социальных услуг по формам социального обслуживания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ви-дам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Ставропольского края и в соответствии с договорами за счет средств физических лиц и (или)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</w:t>
            </w:r>
            <w:r>
              <w:rPr>
                <w:sz w:val="20"/>
                <w:szCs w:val="20"/>
              </w:rPr>
              <w:t>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FA4259">
            <w:pPr>
              <w:jc w:val="center"/>
            </w:pPr>
            <w:r>
              <w:br w:type="page"/>
            </w:r>
            <w:proofErr w:type="spellStart"/>
            <w:r>
              <w:t>асть</w:t>
            </w:r>
            <w:proofErr w:type="spellEnd"/>
            <w:r>
              <w:t xml:space="preserve"> 1. Сведения об оказываемых госуда</w:t>
            </w:r>
            <w:r>
              <w:t>рственных услугах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Раздел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</w:pPr>
            <w: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1. Наименование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57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220470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Предоставление социального обслуживания в форме на дому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по базовому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57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2. Категории потребителей государственной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самообслуживание, самостоятельно </w:t>
            </w:r>
            <w:r>
              <w:t>передвигаться, обеспечивать основные жизненные потребности в силу заболевания, травмы, возраста или наличия инвалидности, Гражданин частично утративший способность либо возможности осуществлять самообслуживание, самостоятельно передвигаться, обеспечивать о</w:t>
            </w:r>
            <w:r>
              <w:t>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 Показатели, характеризующие объем и </w:t>
            </w:r>
            <w:r>
              <w:t>(или) качество государственной услуги: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3.1. Показатели, характеризующие качество государственной услуги: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аписи</w:t>
            </w:r>
          </w:p>
        </w:tc>
        <w:tc>
          <w:tcPr>
            <w:tcW w:w="3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lastRenderedPageBreak/>
              <w:t>социальных</w:t>
            </w:r>
            <w:r>
              <w:rPr>
                <w:sz w:val="20"/>
                <w:szCs w:val="20"/>
              </w:rPr>
              <w:t xml:space="preserve">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Категории </w:t>
            </w: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lastRenderedPageBreak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Очно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lastRenderedPageBreak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единица измерения </w:t>
            </w:r>
            <w:r>
              <w:rPr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 год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2018 год </w:t>
            </w:r>
            <w:r>
              <w:rPr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2019 год </w:t>
            </w:r>
            <w:r>
              <w:rPr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</w:t>
            </w:r>
            <w:r>
              <w:rPr>
                <w:sz w:val="20"/>
                <w:szCs w:val="20"/>
              </w:rPr>
              <w:t>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</w:t>
            </w:r>
            <w:r>
              <w:rPr>
                <w:sz w:val="20"/>
                <w:szCs w:val="20"/>
              </w:rPr>
              <w:lastRenderedPageBreak/>
              <w:t>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</w:t>
            </w:r>
            <w:r>
              <w:rPr>
                <w:sz w:val="20"/>
                <w:szCs w:val="20"/>
              </w:rPr>
              <w:t>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</w:t>
            </w:r>
            <w:r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</w:t>
            </w:r>
            <w:r>
              <w:rPr>
                <w:sz w:val="20"/>
                <w:szCs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</w:t>
            </w:r>
            <w:r>
              <w:rPr>
                <w:sz w:val="20"/>
                <w:szCs w:val="20"/>
              </w:rPr>
              <w:lastRenderedPageBreak/>
              <w:t>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070000000120000160322047001001100001003100101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социального обслуживания в форме социального обслуживан</w:t>
            </w:r>
            <w:r>
              <w:rPr>
                <w:sz w:val="20"/>
                <w:szCs w:val="20"/>
              </w:rPr>
              <w:lastRenderedPageBreak/>
              <w:t xml:space="preserve">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lastRenderedPageBreak/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</w:t>
            </w:r>
            <w:r>
              <w:rPr>
                <w:sz w:val="20"/>
                <w:szCs w:val="20"/>
              </w:rPr>
              <w:t>-инвалидов, срочных социальных услуг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</w:t>
            </w:r>
            <w:r>
              <w:rPr>
                <w:sz w:val="20"/>
                <w:szCs w:val="20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</w:t>
            </w:r>
            <w:r>
              <w:rPr>
                <w:sz w:val="20"/>
                <w:szCs w:val="20"/>
              </w:rPr>
              <w:t>дности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находящихся на социальном обслуживании в организации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52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</w:t>
            </w:r>
            <w:r>
              <w:rPr>
                <w:sz w:val="20"/>
                <w:szCs w:val="20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Допустимые (возможные) отклонения от уста</w:t>
            </w:r>
            <w:r>
              <w:t>новленных показателей качества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3.2. Показатели, характеризующие </w:t>
            </w:r>
            <w:r>
              <w:t>объем государственной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оказатель, характеризующий содержание государственной услуги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</w:t>
            </w:r>
            <w:r>
              <w:rPr>
                <w:sz w:val="20"/>
                <w:szCs w:val="20"/>
              </w:rPr>
              <w:t>цена, тариф)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услуг 3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4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(2-й год планового периода)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</w:t>
            </w:r>
            <w:r>
              <w:rPr>
                <w:sz w:val="20"/>
                <w:szCs w:val="20"/>
              </w:rPr>
              <w:lastRenderedPageBreak/>
              <w:t xml:space="preserve">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</w:t>
            </w:r>
            <w:r>
              <w:rPr>
                <w:sz w:val="20"/>
                <w:szCs w:val="20"/>
              </w:rPr>
              <w:lastRenderedPageBreak/>
              <w:t xml:space="preserve">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</w:t>
            </w:r>
            <w:r>
              <w:rPr>
                <w:sz w:val="20"/>
                <w:szCs w:val="20"/>
              </w:rPr>
              <w:t>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полностью утративший способност</w:t>
            </w:r>
            <w:r>
              <w:rPr>
                <w:sz w:val="20"/>
                <w:szCs w:val="20"/>
              </w:rPr>
              <w:lastRenderedPageBreak/>
              <w:t>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</w:t>
            </w:r>
            <w:r>
              <w:rPr>
                <w:sz w:val="20"/>
                <w:szCs w:val="20"/>
              </w:rPr>
              <w:t>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получивших </w:t>
            </w:r>
            <w:r>
              <w:rPr>
                <w:sz w:val="20"/>
                <w:szCs w:val="20"/>
              </w:rPr>
              <w:lastRenderedPageBreak/>
              <w:t>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1 308,75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</w:t>
            </w:r>
            <w:r>
              <w:rPr>
                <w:sz w:val="20"/>
                <w:szCs w:val="20"/>
              </w:rPr>
              <w:t>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услуг,социально-психологических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услуг,социально-педагогических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sz w:val="20"/>
                <w:szCs w:val="20"/>
              </w:rPr>
              <w:t>жизнедеятельности,в</w:t>
            </w:r>
            <w:proofErr w:type="spellEnd"/>
            <w:r>
              <w:rPr>
                <w:sz w:val="20"/>
                <w:szCs w:val="20"/>
              </w:rPr>
              <w:t xml:space="preserve"> том чи</w:t>
            </w:r>
            <w:r>
              <w:rPr>
                <w:sz w:val="20"/>
                <w:szCs w:val="20"/>
              </w:rPr>
              <w:t>сле детей-инвалидов, срочных социальных услуг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</w:t>
            </w:r>
            <w:r>
              <w:rPr>
                <w:sz w:val="20"/>
                <w:szCs w:val="20"/>
              </w:rPr>
              <w:lastRenderedPageBreak/>
              <w:t>я, травмы, возраста или налич</w:t>
            </w:r>
            <w:r>
              <w:rPr>
                <w:sz w:val="20"/>
                <w:szCs w:val="20"/>
              </w:rPr>
              <w:t>ия инвалидности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Допустимые (возможные) отклонения от уста</w:t>
            </w:r>
            <w:r>
              <w:t>новленных показателей объема государственной услуги, в пределах которых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27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4. Нормативные правовые акты, уст</w:t>
            </w:r>
            <w:r>
              <w:t>анавливающие предельный размер платы (цену и тариф) либо порядок ее (его) установления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труда и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Ставропоьского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94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</w:t>
            </w:r>
            <w:proofErr w:type="spellStart"/>
            <w:r>
              <w:rPr>
                <w:sz w:val="20"/>
                <w:szCs w:val="20"/>
              </w:rPr>
              <w:t>подушевых</w:t>
            </w:r>
            <w:proofErr w:type="spellEnd"/>
            <w:r>
              <w:rPr>
                <w:sz w:val="20"/>
                <w:szCs w:val="20"/>
              </w:rPr>
              <w:t xml:space="preserve"> нормативов финансирования социальных услуг на 2018 год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  Порядок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Закон ""Об основах социального обслуживания граждан в Российской Федерации"" № 442-ФЗ от  28.12.2013; Постановление ""Об утверждении пор</w:t>
            </w:r>
            <w:r>
              <w:t>ядков предоставления социальных поставщиками социальных услуг поставщиками социальных услуг в Ставропольском крае" № 560-п от  29.12.2014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5.2. Порядок информирования потенциальн</w:t>
            </w:r>
            <w:r>
              <w:t>ых потребителей государственной услуги: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</w:t>
            </w:r>
            <w:r>
              <w:rPr>
                <w:sz w:val="20"/>
                <w:szCs w:val="20"/>
              </w:rPr>
              <w:t>емой информации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 учреждения, информация об учредителе (учредителях), место нахождения учреждения и его филиалов (при их наличии), режим (график) работы, </w:t>
            </w:r>
            <w:r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информация, которая размещается, опубликовы</w:t>
            </w:r>
            <w:r>
              <w:rPr>
                <w:sz w:val="20"/>
                <w:szCs w:val="20"/>
              </w:rPr>
              <w:t xml:space="preserve">вается по решению учреждения и (или) размещение, опубликование которой являются обязательными в соответствии с 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за-конодательством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свободн</w:t>
            </w:r>
            <w:r>
              <w:rPr>
                <w:sz w:val="20"/>
                <w:szCs w:val="20"/>
              </w:rPr>
              <w:t>ых мест для приема получателей социальных услуг по формам социального обслуживания, финансируемых за счет бюджетных ассигнований бюджета Ставропольского края, а также оплачиваемых в соответствии с договорами за счет средств физических лиц и (или) юридическ</w:t>
            </w:r>
            <w:r>
              <w:rPr>
                <w:sz w:val="20"/>
                <w:szCs w:val="20"/>
              </w:rPr>
              <w:t>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</w:t>
            </w:r>
            <w:r>
              <w:rPr>
                <w:sz w:val="20"/>
                <w:szCs w:val="20"/>
              </w:rPr>
              <w:t>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наличии предписаний органов, осуществляющих государственный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кон-троль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(надзор) в сфере социального обслуживания, и отчеты об исполнении указанных предписаний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</w:t>
            </w:r>
            <w:r>
              <w:rPr>
                <w:sz w:val="20"/>
                <w:szCs w:val="20"/>
              </w:rPr>
              <w:t>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проведении независимой оценки качества оказания услуг учреждением; результаты и позиции учреждения в рейтинге по итогам независимой оценки качества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ра-боты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</w:t>
            </w:r>
            <w:r>
              <w:rPr>
                <w:sz w:val="20"/>
                <w:szCs w:val="20"/>
              </w:rPr>
              <w:t>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учреждения, его заместителях, руководителях филиалов (при их наличии)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финансово-хозяйственной деятельности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объеме предоставляемых социальных услуг за счет бюджетных </w:t>
            </w:r>
            <w:proofErr w:type="spellStart"/>
            <w:proofErr w:type="gramStart"/>
            <w:r>
              <w:rPr>
                <w:sz w:val="20"/>
                <w:szCs w:val="20"/>
              </w:rPr>
              <w:t>ассигно-ваний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бюджета Ставропольского края и в соответствии с договорами за счет средств </w:t>
            </w:r>
            <w:proofErr w:type="spellStart"/>
            <w:r>
              <w:rPr>
                <w:sz w:val="20"/>
                <w:szCs w:val="20"/>
              </w:rPr>
              <w:t>фи-зических</w:t>
            </w:r>
            <w:proofErr w:type="spellEnd"/>
            <w:r>
              <w:rPr>
                <w:sz w:val="20"/>
                <w:szCs w:val="20"/>
              </w:rPr>
              <w:t xml:space="preserve"> лиц и (или)</w:t>
            </w:r>
            <w:r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копии лицензий с приложениями на осуществление деятельности, подлежащей </w:t>
            </w:r>
            <w:proofErr w:type="spellStart"/>
            <w:proofErr w:type="gramStart"/>
            <w:r>
              <w:rPr>
                <w:sz w:val="20"/>
                <w:szCs w:val="20"/>
              </w:rPr>
              <w:t>лицензи-рованию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</w:t>
            </w:r>
            <w:r>
              <w:rPr>
                <w:sz w:val="20"/>
                <w:szCs w:val="20"/>
              </w:rPr>
              <w:t>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заявления о предоставлении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от социального обслуживания, социальной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необходимых для получения социальных услуг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получателей социальных услуг </w:t>
            </w:r>
            <w:r>
              <w:rPr>
                <w:sz w:val="20"/>
                <w:szCs w:val="20"/>
              </w:rPr>
              <w:t>(категории граждан)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получателей социальных услуг,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</w:t>
            </w:r>
            <w:r>
              <w:rPr>
                <w:sz w:val="20"/>
                <w:szCs w:val="20"/>
              </w:rPr>
              <w:t>дка для получателей социальных услуг, правила внутреннего трудового распорядка и коллективный договор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учреждения и органы управления учреждения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</w:t>
            </w:r>
            <w:r>
              <w:rPr>
                <w:sz w:val="20"/>
                <w:szCs w:val="20"/>
              </w:rPr>
              <w:t xml:space="preserve">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обслуживания, перечень социальных услуг, порядки и условия их предоставления, тарифы на социальные услуги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или письменное обращение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исленность получателей социальных услуг по формам социального обслуживания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ви-дам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услуг за счет бюджетных ассигнований бюджета </w:t>
            </w:r>
            <w:r>
              <w:rPr>
                <w:sz w:val="20"/>
                <w:szCs w:val="20"/>
              </w:rPr>
              <w:lastRenderedPageBreak/>
              <w:t>Ставропольского края и в соответствии с договорами за счет средств физических лиц и (или) юридических лиц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</w:t>
            </w:r>
            <w:r>
              <w:rPr>
                <w:sz w:val="20"/>
                <w:szCs w:val="20"/>
              </w:rPr>
              <w:t>менения размещаемой информации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  <w:r>
              <w:br w:type="page"/>
              <w:t>Часть 3. Прочие сведения о государстве</w:t>
            </w:r>
            <w:r>
              <w:t>нном задании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 xml:space="preserve">1. Порядок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госу</w:t>
            </w:r>
            <w:r>
              <w:t>дарственного задания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righ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исполнительной власти Ставропольского края, осуществляющие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8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2. Условия и порядок для досрочного прекр</w:t>
            </w:r>
            <w:r>
              <w:t>ащения выполнения государственного задания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r>
              <w:t>3. Иная информация, необходимая для вып</w:t>
            </w:r>
            <w:r>
              <w:t>олнения (</w:t>
            </w:r>
            <w:proofErr w:type="gramStart"/>
            <w:r>
              <w:t>контроля за</w:t>
            </w:r>
            <w:proofErr w:type="gramEnd"/>
            <w:r>
              <w:t xml:space="preserve"> выполнением) государственного задания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r>
              <w:t>4. Требования к отчетности о выполнении государственного задания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73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FA9" w:rsidRDefault="00F816E5" w:rsidP="00901976">
            <w:r>
              <w:t>Годовой отчет о выполнении государственного задания; Промежуточный отчет о выполнении государственного задания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9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r>
              <w:t xml:space="preserve">4.1. </w:t>
            </w:r>
            <w:r>
              <w:t>Периодичность представления отчетов о выполнении государственного задания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55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Раз в год; Раз в квартал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r>
              <w:t>4.2. Сроки представления отчетов о выполнении государственного задания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67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proofErr w:type="gramStart"/>
            <w:r>
              <w:t xml:space="preserve">До 15 января года, следующего за отчетным; До 10 числа месяца, следующего </w:t>
            </w:r>
            <w:r>
              <w:t>за отчетным кварталом</w:t>
            </w:r>
            <w:proofErr w:type="gramEnd"/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r>
              <w:lastRenderedPageBreak/>
              <w:t>4.3. Иные требования к отчетности о выполнении государственного задания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/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 </w:t>
            </w:r>
          </w:p>
        </w:tc>
        <w:tc>
          <w:tcPr>
            <w:tcW w:w="642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FA9" w:rsidRDefault="00F816E5" w:rsidP="00901976">
            <w:r>
              <w:t>Нет; Нет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>
            <w:r>
              <w:t>5. Иные показатели, связанные с выполнением государственного задания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67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FA9" w:rsidRDefault="00F816E5" w:rsidP="00901976">
            <w:r>
              <w:t> 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6FA9" w:rsidRDefault="00F816E5" w:rsidP="0090197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jc w:val="both"/>
            </w:pPr>
            <w:r>
              <w:t xml:space="preserve">         Примечание: </w:t>
            </w:r>
            <w:proofErr w:type="gramStart"/>
            <w:r>
              <w:t>Форма государствен</w:t>
            </w:r>
            <w:r>
              <w:t xml:space="preserve">ного задания на оказание государственных услуг (выполнение работ) в настоящем Приложении приведена по аналогии с приложением 1 к Положению о формировании государственного задания на оказание государственных услуг (выполнение работ) в отношении федеральных </w:t>
            </w:r>
            <w:r>
              <w:t xml:space="preserve">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</w:t>
            </w:r>
            <w:proofErr w:type="spellStart"/>
            <w:r>
              <w:t>г.№</w:t>
            </w:r>
            <w:proofErr w:type="spellEnd"/>
            <w:r>
              <w:t xml:space="preserve"> 640 «О порядке формирования государственного задания на оказание государственных</w:t>
            </w:r>
            <w:proofErr w:type="gramEnd"/>
            <w:r>
              <w:t xml:space="preserve"> ус</w:t>
            </w:r>
            <w:r>
              <w:t>луг (выполнение работ) в отношении федеральных государственных учреждений и финансового обеспечения выполнения государственного задания».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/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A9" w:rsidRDefault="00F816E5" w:rsidP="0090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934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  <w:r>
              <w:rPr>
                <w:sz w:val="20"/>
                <w:szCs w:val="20"/>
              </w:rPr>
              <w:t xml:space="preserve"> Государственное задание на оказание государственных услуг (выполнение работ) утверждается на срок до одного года в случае утверждения бюджета Ставропольского края на очередной финансовый год и на срок до трех лет в случае утверждения бюджета Ставропольско</w:t>
            </w:r>
            <w:r>
              <w:rPr>
                <w:sz w:val="20"/>
                <w:szCs w:val="20"/>
              </w:rPr>
              <w:t>го края на очередной финансовый год и плановый период.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934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 xml:space="preserve">аполняется при установлении показателей, характеризующих качество государственной услуги, в ведомственном перечне государственных услуг (работ), оказываемых (выполняемых) </w:t>
            </w:r>
            <w:r>
              <w:rPr>
                <w:sz w:val="20"/>
                <w:szCs w:val="20"/>
              </w:rPr>
              <w:t>государственными учреждениями Ставропольского края, находящимися в ведении соответствующего органа исполнительной власти Ставропольского края, в качестве основных видов деятельности (далее – ведомственный перечень государственных услуг (работ).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93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3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аполняется при установлении показателей, характеризующих качество работы, в ведомственном перечне государственных услуг (работ).</w:t>
            </w:r>
          </w:p>
        </w:tc>
      </w:tr>
      <w:tr w:rsidR="00076FA9" w:rsidTr="00076FA9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FA9" w:rsidRDefault="00F816E5" w:rsidP="00901976">
            <w:pPr>
              <w:rPr>
                <w:sz w:val="20"/>
                <w:szCs w:val="20"/>
              </w:rPr>
            </w:pPr>
          </w:p>
        </w:tc>
      </w:tr>
    </w:tbl>
    <w:p w:rsidR="00076FA9" w:rsidRPr="00F561C9" w:rsidRDefault="00F816E5" w:rsidP="00076FA9"/>
    <w:p w:rsidR="00492241" w:rsidRPr="00076FA9" w:rsidRDefault="00F816E5" w:rsidP="00076FA9"/>
    <w:sectPr w:rsidR="00492241" w:rsidRPr="00076FA9" w:rsidSect="00076FA9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262"/>
    <w:rsid w:val="001E5262"/>
    <w:rsid w:val="007605E4"/>
    <w:rsid w:val="00F8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10721</Words>
  <Characters>61112</Characters>
  <Application>Microsoft Office Word</Application>
  <DocSecurity>0</DocSecurity>
  <Lines>509</Lines>
  <Paragraphs>143</Paragraphs>
  <ScaleCrop>false</ScaleCrop>
  <Company>SPecialiST RePack</Company>
  <LinksUpToDate>false</LinksUpToDate>
  <CharactersWithSpaces>71690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Comp_3</cp:lastModifiedBy>
  <cp:revision>2</cp:revision>
  <dcterms:created xsi:type="dcterms:W3CDTF">2017-12-26T10:58:00Z</dcterms:created>
  <dcterms:modified xsi:type="dcterms:W3CDTF">2017-12-26T10:58:00Z</dcterms:modified>
</cp:coreProperties>
</file>